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5.052166934187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0.8467094703046"/>
        <w:gridCol w:w="3014.205457463884"/>
        <w:gridCol w:w="1725"/>
        <w:gridCol w:w="6435"/>
        <w:tblGridChange w:id="0">
          <w:tblGrid>
            <w:gridCol w:w="3280.8467094703046"/>
            <w:gridCol w:w="3014.205457463884"/>
            <w:gridCol w:w="1725"/>
            <w:gridCol w:w="6435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IMPORTANT CONCEPTS YOUR STUDENT SHOULD KNOW AND ACTIVITIES TO DO AT HOME</w:t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99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                                                    Books: </w:t>
            </w:r>
            <w:r w:rsidDel="00000000" w:rsidR="00000000" w:rsidRPr="00000000">
              <w:rPr>
                <w:b w:val="1"/>
                <w:color w:val="9900ff"/>
                <w:sz w:val="28"/>
                <w:szCs w:val="28"/>
                <w:u w:val="single"/>
                <w:rtl w:val="0"/>
              </w:rPr>
              <w:t xml:space="preserve">Ice to Steam</w:t>
            </w: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color w:val="9900ff"/>
                <w:sz w:val="28"/>
                <w:szCs w:val="28"/>
                <w:u w:val="single"/>
                <w:rtl w:val="0"/>
              </w:rPr>
              <w:t xml:space="preserve">The Westing Game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                                                    Writing: Sentence Composing and Informational Writing Compare/Contrast</w:t>
            </w:r>
          </w:p>
        </w:tc>
      </w:tr>
      <w:tr>
        <w:trPr>
          <w:trHeight w:val="560" w:hRule="atLeast"/>
        </w:trPr>
        <w:tc>
          <w:tcPr>
            <w:gridSpan w:val="4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Important Concepts Addressed in this Unit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</w:t>
            </w: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determine the theme of a story, drama, or poem from details in a text.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compare and contrast two or more characters, settings, or events in a story or drama.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explain how a series of chapters, scenes,or stanzas fit together.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describe how a narrator’s point of view influences how events are described.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use capitalization, punctuation, and spelling correctly when writing.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interpret the meaning of figurative language.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use context clues to determine the meaning of words.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use text evidence to support my answer.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determine the meaning of words based on Greek and Latin affixes and roots.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I can make inferences based on what I have read.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identify the main idea and details of an informational text.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read and understand informational text.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write an informational text.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develop a topic with facts related to a topic.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</w:rPr>
            </w:pPr>
            <w:r w:rsidDel="00000000" w:rsidR="00000000" w:rsidRPr="00000000">
              <w:rPr>
                <w:rFonts w:ascii="ABeeZee" w:cs="ABeeZee" w:eastAsia="ABeeZee" w:hAnsi="ABeeZee"/>
                <w:rtl w:val="0"/>
              </w:rPr>
              <w:t xml:space="preserve">*I can use conjunctions to expand sentences.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*I can use prepositions to expand sentences and add more detail.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*I can explain the function of an interjection in a sentence.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*I can write an opinion piece on a topic based on text evidence.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*I can use reference materials to determine the meaning of a word, along with synonyms and antonyms.</w:t>
            </w:r>
          </w:p>
        </w:tc>
      </w:tr>
      <w:tr>
        <w:trPr>
          <w:trHeight w:val="480" w:hRule="atLeast"/>
        </w:trPr>
        <w:tc>
          <w:tcPr>
            <w:gridSpan w:val="3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Words To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How You Can Help Your Student</w:t>
            </w:r>
          </w:p>
        </w:tc>
      </w:tr>
      <w:tr>
        <w:trPr>
          <w:trHeight w:val="17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b w:val="1"/>
                <w:u w:val="singl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u w:val="single"/>
                <w:rtl w:val="0"/>
              </w:rPr>
              <w:t xml:space="preserve">Ice to Steam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List 1: solid, liquid, gas, precipitation, evaporation, condensation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sz w:val="20"/>
                <w:szCs w:val="20"/>
                <w:u w:val="single"/>
                <w:rtl w:val="0"/>
              </w:rPr>
              <w:t xml:space="preserve">The Westing Game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List 1: luxurious, motive, obituary, heir, inherit, executor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List 2: defiantly, suspicion, alibi, coincidence, timid, paralyze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List 3: restraining, resemblance, irony, tension, plot thickness, share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List 4: deliberately, astounded, “Played right into the man’s hands”, foreshadow, resolution, financier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0"/>
                <w:szCs w:val="20"/>
              </w:rPr>
            </w:pPr>
            <w:r w:rsidDel="00000000" w:rsidR="00000000" w:rsidRPr="00000000">
              <w:rPr>
                <w:rFonts w:ascii="ABeeZee" w:cs="ABeeZee" w:eastAsia="ABeeZee" w:hAnsi="ABeeZee"/>
                <w:sz w:val="20"/>
                <w:szCs w:val="20"/>
                <w:rtl w:val="0"/>
              </w:rPr>
              <w:t xml:space="preserve">List 5: witness, confessed, accomplice, charred, crossroads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Flashcards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BeeZee" w:cs="ABeeZee" w:eastAsia="ABeeZee" w:hAnsi="ABeeZee"/>
                <w:sz w:val="24"/>
                <w:szCs w:val="24"/>
                <w:rtl w:val="0"/>
              </w:rPr>
              <w:t xml:space="preserve">Monday’s homework each week will be to create flashcards for the vocabulary word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Agendas: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for homework and sign each night.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7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70"/>
        <w:tblGridChange w:id="0">
          <w:tblGrid>
            <w:gridCol w:w="14370"/>
          </w:tblGrid>
        </w:tblGridChange>
      </w:tblGrid>
      <w:tr>
        <w:trPr>
          <w:trHeight w:val="480" w:hRule="atLeast"/>
        </w:trPr>
        <w:tc>
          <w:tcPr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Sample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20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Select the correctly spelled word.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contextualSpacing w:val="1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luxurious</w:t>
              <w:tab/>
              <w:tab/>
              <w:t xml:space="preserve">lucerious</w:t>
              <w:tab/>
              <w:tab/>
              <w:t xml:space="preserve">luxereous</w:t>
              <w:tab/>
              <w:tab/>
              <w:t xml:space="preserve">luxurous</w:t>
            </w:r>
          </w:p>
          <w:p w:rsidR="00000000" w:rsidDel="00000000" w:rsidP="00000000" w:rsidRDefault="00000000" w:rsidRPr="00000000" w14:paraId="0000003B">
            <w:pPr>
              <w:spacing w:after="20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Sunset Towers was the most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luxurious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building on Lake Michigan.(fill in the blank - recall)</w:t>
            </w:r>
          </w:p>
          <w:p w:rsidR="00000000" w:rsidDel="00000000" w:rsidP="00000000" w:rsidRDefault="00000000" w:rsidRPr="00000000" w14:paraId="0000003C">
            <w:pPr>
              <w:spacing w:after="20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*** Be able to use different forms of each word in sentences and for fill in the blank questions. Examples: luxuriously, ironic, motives, defied, etc.</w:t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bril Fatface">
    <w:embedRegular w:fontKey="{00000000-0000-0000-0000-000000000000}" r:id="rId1" w:subsetted="0"/>
  </w:font>
  <w:font w:name="ABeeZee">
    <w:embedRegular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3600" w:firstLine="720"/>
      <w:contextualSpacing w:val="0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7829550</wp:posOffset>
          </wp:positionH>
          <wp:positionV relativeFrom="paragraph">
            <wp:posOffset>47626</wp:posOffset>
          </wp:positionV>
          <wp:extent cx="1309688" cy="13096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1309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Fonts w:ascii="Abril Fatface" w:cs="Abril Fatface" w:eastAsia="Abril Fatface" w:hAnsi="Abril Fatface"/>
        <w:b w:val="1"/>
        <w:sz w:val="60"/>
        <w:szCs w:val="60"/>
        <w:rtl w:val="0"/>
      </w:rPr>
      <w:t xml:space="preserve"> 5th Grade</w:t>
    </w:r>
  </w:p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rFonts w:ascii="Abril Fatface" w:cs="Abril Fatface" w:eastAsia="Abril Fatface" w:hAnsi="Abril Fatface"/>
        <w:b w:val="1"/>
        <w:sz w:val="60"/>
        <w:szCs w:val="60"/>
        <w:rtl w:val="0"/>
      </w:rPr>
      <w:t xml:space="preserve">PARENT GUIDE - 2nd Nine Weeks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Relationship Id="rId2" Type="http://schemas.openxmlformats.org/officeDocument/2006/relationships/font" Target="fonts/ABeeZee-regular.ttf"/><Relationship Id="rId3" Type="http://schemas.openxmlformats.org/officeDocument/2006/relationships/font" Target="fonts/ABeeZe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