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0B" w:rsidRPr="009C1F8C" w:rsidRDefault="0072330B" w:rsidP="0072330B">
      <w:pPr>
        <w:pStyle w:val="Default"/>
        <w:rPr>
          <w:sz w:val="22"/>
        </w:rPr>
      </w:pPr>
      <w:bookmarkStart w:id="0" w:name="_GoBack"/>
      <w:bookmarkEnd w:id="0"/>
    </w:p>
    <w:tbl>
      <w:tblPr>
        <w:tblpPr w:leftFromText="180" w:rightFromText="180" w:vertAnchor="text" w:horzAnchor="margin" w:tblpXSpec="center" w:tblpY="136"/>
        <w:tblW w:w="11430" w:type="dxa"/>
        <w:tblLook w:val="04A0" w:firstRow="1" w:lastRow="0" w:firstColumn="1" w:lastColumn="0" w:noHBand="0" w:noVBand="1"/>
      </w:tblPr>
      <w:tblGrid>
        <w:gridCol w:w="11430"/>
      </w:tblGrid>
      <w:tr w:rsidR="007A7C28" w:rsidRPr="007A7C28" w:rsidTr="0084758D">
        <w:trPr>
          <w:trHeight w:val="2025"/>
        </w:trPr>
        <w:tc>
          <w:tcPr>
            <w:tcW w:w="11430" w:type="dxa"/>
            <w:shd w:val="clear" w:color="auto" w:fill="auto"/>
          </w:tcPr>
          <w:p w:rsidR="007A7C28" w:rsidRPr="007A7C28" w:rsidRDefault="007A7C28" w:rsidP="007A7C28">
            <w:pPr>
              <w:spacing w:after="0" w:line="240" w:lineRule="auto"/>
              <w:jc w:val="center"/>
              <w:rPr>
                <w:rFonts w:ascii="Times New Roman" w:eastAsia="Arial Unicode MS" w:hAnsi="Times New Roman" w:cs="Times New Roman"/>
                <w:b/>
                <w:bCs/>
                <w:i/>
              </w:rPr>
            </w:pPr>
            <w:r w:rsidRPr="007A7C28">
              <w:rPr>
                <w:rFonts w:ascii="Times New Roman" w:eastAsia="Arial Unicode MS" w:hAnsi="Times New Roman" w:cs="Times New Roman"/>
                <w:b/>
                <w:bCs/>
                <w:i/>
                <w:sz w:val="44"/>
                <w:szCs w:val="44"/>
              </w:rPr>
              <w:t xml:space="preserve">THE WESTERLEIGH SCHOOL    </w:t>
            </w:r>
          </w:p>
          <w:p w:rsidR="007A7C28" w:rsidRPr="007A7C28" w:rsidRDefault="007A7C28" w:rsidP="007A7C28">
            <w:pPr>
              <w:spacing w:after="0" w:line="240" w:lineRule="auto"/>
              <w:jc w:val="center"/>
              <w:rPr>
                <w:rFonts w:ascii="Times New Roman" w:eastAsia="Arial Unicode MS" w:hAnsi="Times New Roman" w:cs="Times New Roman"/>
                <w:b/>
                <w:bCs/>
                <w:i/>
                <w:sz w:val="28"/>
                <w:szCs w:val="28"/>
              </w:rPr>
            </w:pPr>
            <w:r w:rsidRPr="007A7C28">
              <w:rPr>
                <w:rFonts w:ascii="Times New Roman" w:eastAsia="Arial Unicode MS" w:hAnsi="Times New Roman" w:cs="Times New Roman"/>
                <w:b/>
                <w:bCs/>
                <w:i/>
                <w:sz w:val="28"/>
                <w:szCs w:val="28"/>
              </w:rPr>
              <w:t>PUBLIC SCHOOL 30</w:t>
            </w:r>
          </w:p>
          <w:p w:rsidR="007A7C28" w:rsidRPr="007A7C28" w:rsidRDefault="007A7C28" w:rsidP="007A7C28">
            <w:pPr>
              <w:spacing w:after="0" w:line="240" w:lineRule="auto"/>
              <w:jc w:val="center"/>
              <w:rPr>
                <w:rFonts w:ascii="Times New Roman" w:eastAsia="Arial Unicode MS" w:hAnsi="Times New Roman" w:cs="Times New Roman"/>
                <w:b/>
                <w:bCs/>
                <w:i/>
                <w:sz w:val="28"/>
                <w:szCs w:val="28"/>
              </w:rPr>
            </w:pPr>
            <w:r>
              <w:rPr>
                <w:rFonts w:ascii="Mona Lisa Recut" w:eastAsia="Times New Roman" w:hAnsi="Mona Lisa Recut" w:cs="Times New Roman"/>
                <w:b/>
                <w:bCs/>
                <w:noProof/>
                <w:sz w:val="32"/>
                <w:szCs w:val="24"/>
              </w:rPr>
              <w:drawing>
                <wp:inline distT="0" distB="0" distL="0" distR="0">
                  <wp:extent cx="1724025" cy="685800"/>
                  <wp:effectExtent l="0" t="0" r="9525"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685800"/>
                          </a:xfrm>
                          <a:prstGeom prst="rect">
                            <a:avLst/>
                          </a:prstGeom>
                          <a:noFill/>
                          <a:ln>
                            <a:noFill/>
                          </a:ln>
                        </pic:spPr>
                      </pic:pic>
                    </a:graphicData>
                  </a:graphic>
                </wp:inline>
              </w:drawing>
            </w:r>
          </w:p>
          <w:p w:rsidR="007A7C28" w:rsidRPr="007A7C28" w:rsidRDefault="00492417" w:rsidP="007A7C28">
            <w:pPr>
              <w:spacing w:after="0" w:line="240" w:lineRule="auto"/>
              <w:jc w:val="center"/>
              <w:rPr>
                <w:rFonts w:ascii="Bell MT" w:eastAsia="Arial Unicode MS" w:hAnsi="Bell MT" w:cs="Arial Unicode MS"/>
                <w:b/>
                <w:bCs/>
                <w:i/>
                <w:sz w:val="28"/>
                <w:szCs w:val="28"/>
              </w:rPr>
            </w:pPr>
            <w:hyperlink r:id="rId6" w:history="1">
              <w:r w:rsidR="007A7C28" w:rsidRPr="007A7C28">
                <w:rPr>
                  <w:rFonts w:ascii="Bell MT" w:eastAsia="Arial Unicode MS" w:hAnsi="Bell MT" w:cs="Arial Unicode MS"/>
                  <w:b/>
                  <w:bCs/>
                  <w:i/>
                  <w:color w:val="0000FF"/>
                  <w:sz w:val="28"/>
                  <w:szCs w:val="28"/>
                  <w:u w:val="single"/>
                </w:rPr>
                <w:t>www.ps30.0rg</w:t>
              </w:r>
            </w:hyperlink>
          </w:p>
          <w:p w:rsidR="007A7C28" w:rsidRPr="007A7C28" w:rsidRDefault="007A7C28" w:rsidP="007A7C28">
            <w:pPr>
              <w:spacing w:after="0" w:line="240" w:lineRule="auto"/>
              <w:jc w:val="center"/>
              <w:rPr>
                <w:rFonts w:ascii="Times New Roman" w:eastAsia="Arial Unicode MS" w:hAnsi="Times New Roman" w:cs="Times New Roman"/>
                <w:b/>
                <w:bCs/>
                <w:i/>
                <w:sz w:val="18"/>
                <w:szCs w:val="18"/>
              </w:rPr>
            </w:pPr>
          </w:p>
          <w:p w:rsidR="007A7C28" w:rsidRPr="007A7C28" w:rsidRDefault="007A7C28" w:rsidP="007A7C28">
            <w:pPr>
              <w:spacing w:after="0" w:line="240" w:lineRule="auto"/>
              <w:jc w:val="center"/>
              <w:rPr>
                <w:rFonts w:ascii="Times New Roman" w:eastAsia="Arial Unicode MS" w:hAnsi="Times New Roman" w:cs="Times New Roman"/>
                <w:b/>
                <w:bCs/>
                <w:i/>
                <w:sz w:val="20"/>
                <w:szCs w:val="20"/>
              </w:rPr>
            </w:pPr>
            <w:r w:rsidRPr="007A7C28">
              <w:rPr>
                <w:rFonts w:ascii="Times New Roman" w:eastAsia="Arial Unicode MS" w:hAnsi="Times New Roman" w:cs="Times New Roman"/>
                <w:b/>
                <w:bCs/>
                <w:i/>
                <w:sz w:val="20"/>
                <w:szCs w:val="20"/>
              </w:rPr>
              <w:t xml:space="preserve">200 WARDWELL AVENUE </w:t>
            </w:r>
            <w:r w:rsidRPr="007A7C28">
              <w:rPr>
                <w:rFonts w:ascii="Times New Roman" w:eastAsia="Arial Unicode MS" w:hAnsi="Times New Roman" w:cs="Times New Roman"/>
                <w:b/>
                <w:bCs/>
                <w:i/>
                <w:sz w:val="20"/>
                <w:szCs w:val="20"/>
              </w:rPr>
              <w:sym w:font="Wingdings" w:char="F073"/>
            </w:r>
            <w:r w:rsidRPr="007A7C28">
              <w:rPr>
                <w:rFonts w:ascii="Times New Roman" w:eastAsia="Arial Unicode MS" w:hAnsi="Times New Roman" w:cs="Times New Roman"/>
                <w:b/>
                <w:bCs/>
                <w:i/>
                <w:sz w:val="20"/>
                <w:szCs w:val="20"/>
              </w:rPr>
              <w:t xml:space="preserve"> STATEN ISLAND, NY 10314</w:t>
            </w:r>
            <w:r w:rsidRPr="007A7C28">
              <w:rPr>
                <w:rFonts w:ascii="Times New Roman" w:eastAsia="Arial Unicode MS" w:hAnsi="Times New Roman" w:cs="Times New Roman"/>
                <w:b/>
                <w:bCs/>
                <w:i/>
                <w:sz w:val="20"/>
                <w:szCs w:val="20"/>
              </w:rPr>
              <w:sym w:font="Wingdings" w:char="F073"/>
            </w:r>
            <w:r w:rsidRPr="007A7C28">
              <w:rPr>
                <w:rFonts w:ascii="Times New Roman" w:eastAsia="Arial Unicode MS" w:hAnsi="Times New Roman" w:cs="Times New Roman"/>
                <w:b/>
                <w:bCs/>
                <w:i/>
                <w:sz w:val="20"/>
                <w:szCs w:val="20"/>
              </w:rPr>
              <w:t xml:space="preserve"> 718-442-0462 </w:t>
            </w:r>
            <w:r w:rsidRPr="007A7C28">
              <w:rPr>
                <w:rFonts w:ascii="Times New Roman" w:eastAsia="Arial Unicode MS" w:hAnsi="Times New Roman" w:cs="Times New Roman"/>
                <w:b/>
                <w:bCs/>
                <w:i/>
                <w:sz w:val="20"/>
                <w:szCs w:val="20"/>
              </w:rPr>
              <w:sym w:font="Wingdings" w:char="F073"/>
            </w:r>
            <w:r w:rsidRPr="007A7C28">
              <w:rPr>
                <w:rFonts w:ascii="Times New Roman" w:eastAsia="Arial Unicode MS" w:hAnsi="Times New Roman" w:cs="Times New Roman"/>
                <w:b/>
                <w:bCs/>
                <w:i/>
                <w:sz w:val="20"/>
                <w:szCs w:val="20"/>
              </w:rPr>
              <w:t xml:space="preserve"> FAX 718-442-4265</w:t>
            </w:r>
          </w:p>
          <w:p w:rsidR="007A7C28" w:rsidRPr="007A7C28" w:rsidRDefault="007A7C28" w:rsidP="007A7C28">
            <w:pPr>
              <w:spacing w:after="0" w:line="240" w:lineRule="auto"/>
              <w:jc w:val="center"/>
              <w:rPr>
                <w:rFonts w:ascii="Times New Roman" w:eastAsia="Arial Unicode MS" w:hAnsi="Times New Roman" w:cs="Times New Roman"/>
                <w:b/>
                <w:bCs/>
                <w:i/>
                <w:sz w:val="6"/>
                <w:szCs w:val="6"/>
              </w:rPr>
            </w:pPr>
          </w:p>
          <w:p w:rsidR="007A7C28" w:rsidRPr="007A7C28" w:rsidRDefault="007A7C28" w:rsidP="007A7C28">
            <w:pPr>
              <w:spacing w:after="0" w:line="240" w:lineRule="auto"/>
              <w:jc w:val="center"/>
              <w:rPr>
                <w:rFonts w:ascii="Bell MT" w:eastAsia="Arial Unicode MS" w:hAnsi="Bell MT" w:cs="Times New Roman"/>
                <w:b/>
                <w:bCs/>
                <w:i/>
                <w:sz w:val="24"/>
                <w:szCs w:val="24"/>
              </w:rPr>
            </w:pPr>
            <w:r w:rsidRPr="007A7C28">
              <w:rPr>
                <w:rFonts w:ascii="Bell MT" w:eastAsia="Arial Unicode MS" w:hAnsi="Bell MT" w:cs="Times New Roman"/>
                <w:b/>
                <w:bCs/>
                <w:i/>
                <w:sz w:val="24"/>
                <w:szCs w:val="24"/>
              </w:rPr>
              <w:t xml:space="preserve">Alan Ihne, Principal </w:t>
            </w:r>
            <w:r w:rsidRPr="007A7C28">
              <w:rPr>
                <w:rFonts w:ascii="Bell MT" w:eastAsia="Arial Unicode MS" w:hAnsi="Bell MT" w:cs="Times New Roman"/>
                <w:b/>
                <w:bCs/>
                <w:i/>
                <w:sz w:val="24"/>
                <w:szCs w:val="24"/>
              </w:rPr>
              <w:sym w:font="Wingdings" w:char="F073"/>
            </w:r>
            <w:r w:rsidRPr="007A7C28">
              <w:rPr>
                <w:rFonts w:ascii="Bell MT" w:eastAsia="Arial Unicode MS" w:hAnsi="Bell MT" w:cs="Times New Roman"/>
                <w:b/>
                <w:bCs/>
                <w:i/>
                <w:sz w:val="24"/>
                <w:szCs w:val="24"/>
              </w:rPr>
              <w:t xml:space="preserve">  Joseph Napolitano, Assistant Principal </w:t>
            </w:r>
            <w:r w:rsidRPr="007A7C28">
              <w:rPr>
                <w:rFonts w:ascii="Bell MT" w:eastAsia="Arial Unicode MS" w:hAnsi="Bell MT" w:cs="Times New Roman"/>
                <w:b/>
                <w:bCs/>
                <w:i/>
                <w:sz w:val="24"/>
                <w:szCs w:val="24"/>
              </w:rPr>
              <w:sym w:font="Wingdings" w:char="F073"/>
            </w:r>
            <w:r w:rsidRPr="007A7C28">
              <w:rPr>
                <w:rFonts w:ascii="Bell MT" w:eastAsia="Arial Unicode MS" w:hAnsi="Bell MT" w:cs="Times New Roman"/>
                <w:b/>
                <w:bCs/>
                <w:i/>
                <w:sz w:val="24"/>
                <w:szCs w:val="24"/>
              </w:rPr>
              <w:t xml:space="preserve">  Jennifer Miller, Assistant Principal </w:t>
            </w:r>
          </w:p>
          <w:p w:rsidR="007A7C28" w:rsidRPr="007A7C28" w:rsidRDefault="007A7C28" w:rsidP="007A7C28">
            <w:pPr>
              <w:spacing w:after="0" w:line="240" w:lineRule="auto"/>
              <w:rPr>
                <w:rFonts w:ascii="Times New Roman" w:eastAsia="Arial Unicode MS" w:hAnsi="Times New Roman" w:cs="Times New Roman"/>
                <w:b/>
                <w:bCs/>
                <w:i/>
                <w:sz w:val="28"/>
                <w:szCs w:val="28"/>
              </w:rPr>
            </w:pPr>
            <w:r w:rsidRPr="007A7C28">
              <w:rPr>
                <w:rFonts w:ascii="Times New Roman" w:eastAsia="Arial Unicode MS" w:hAnsi="Times New Roman" w:cs="Times New Roman"/>
                <w:b/>
                <w:bCs/>
                <w:i/>
                <w:sz w:val="28"/>
                <w:szCs w:val="28"/>
              </w:rPr>
              <w:t>________________________________________________________________________________</w:t>
            </w:r>
          </w:p>
        </w:tc>
      </w:tr>
      <w:tr w:rsidR="0072330B" w:rsidRPr="0072330B" w:rsidTr="00B217AD">
        <w:trPr>
          <w:trHeight w:val="2025"/>
        </w:trPr>
        <w:tc>
          <w:tcPr>
            <w:tcW w:w="11430" w:type="dxa"/>
            <w:shd w:val="clear" w:color="auto" w:fill="auto"/>
          </w:tcPr>
          <w:p w:rsidR="007A7C28" w:rsidRPr="006E1D0A" w:rsidRDefault="007A7C28" w:rsidP="007A7C28">
            <w:pPr>
              <w:pStyle w:val="Default"/>
              <w:rPr>
                <w:rFonts w:asciiTheme="minorHAnsi" w:hAnsiTheme="minorHAnsi"/>
                <w:b/>
                <w:bCs/>
                <w:sz w:val="20"/>
                <w:szCs w:val="20"/>
              </w:rPr>
            </w:pPr>
            <w:r w:rsidRPr="006E1D0A">
              <w:rPr>
                <w:rFonts w:asciiTheme="minorHAnsi" w:hAnsiTheme="minorHAnsi"/>
                <w:b/>
                <w:bCs/>
                <w:sz w:val="20"/>
                <w:szCs w:val="20"/>
              </w:rPr>
              <w:t xml:space="preserve">SCHOOL-BASED POLICY OF PS 30 FOR USE OF CELL PHONES, COMPUTING DEVICES, AND PORTABLE MUSIC AND ENTERTAINMENT SYSTEMS ON SCHOOL PROPERTY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Students are permitted to bring the following electronic items to school: 1) cell phones; 2) laptops, tablets, iPads and other similar computing devices (“computing devices”); and 3) portable music and entertainment systems, such as iPods, MP3 players, PSP, and Nintendo DS.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A. </w:t>
            </w:r>
            <w:r w:rsidRPr="006E1D0A">
              <w:rPr>
                <w:rFonts w:asciiTheme="minorHAnsi" w:hAnsiTheme="minorHAnsi"/>
                <w:b/>
                <w:bCs/>
                <w:sz w:val="20"/>
                <w:szCs w:val="20"/>
              </w:rPr>
              <w:t>The use of cell phones, computing devices and portable music and entertainment systems at school is subject to the conditions below</w:t>
            </w:r>
            <w:r w:rsidRPr="006E1D0A">
              <w:rPr>
                <w:rFonts w:asciiTheme="minorHAnsi" w:hAnsiTheme="minorHAnsi"/>
                <w:sz w:val="20"/>
                <w:szCs w:val="20"/>
              </w:rPr>
              <w:t xml:space="preserve">.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spacing w:line="360" w:lineRule="auto"/>
              <w:rPr>
                <w:rFonts w:asciiTheme="minorHAnsi" w:hAnsiTheme="minorHAnsi"/>
                <w:sz w:val="20"/>
                <w:szCs w:val="20"/>
              </w:rPr>
            </w:pPr>
            <w:r w:rsidRPr="006E1D0A">
              <w:rPr>
                <w:rFonts w:asciiTheme="minorHAnsi" w:hAnsiTheme="minorHAnsi"/>
                <w:sz w:val="20"/>
                <w:szCs w:val="20"/>
              </w:rPr>
              <w:t xml:space="preserve">1. Cell phones and portable music and entertainment systems may not be turned on or used during the administration of any school quiz, test or examination. </w:t>
            </w:r>
          </w:p>
          <w:p w:rsidR="007A7C28" w:rsidRPr="006E1D0A" w:rsidRDefault="007A7C28" w:rsidP="007A7C28">
            <w:pPr>
              <w:pStyle w:val="Default"/>
              <w:spacing w:line="360" w:lineRule="auto"/>
              <w:rPr>
                <w:rFonts w:asciiTheme="minorHAnsi" w:hAnsiTheme="minorHAnsi"/>
                <w:sz w:val="20"/>
                <w:szCs w:val="20"/>
              </w:rPr>
            </w:pPr>
            <w:r w:rsidRPr="006E1D0A">
              <w:rPr>
                <w:rFonts w:asciiTheme="minorHAnsi" w:hAnsiTheme="minorHAnsi"/>
                <w:sz w:val="20"/>
                <w:szCs w:val="20"/>
              </w:rPr>
              <w:t xml:space="preserve">2. Computing devices may not be turned on or used during the administration of any school quiz, test or examination, except where such use has been explicitly authorized by the school or is contained in an Individualized Education Program or Section 504 Accommodation Plan. </w:t>
            </w:r>
          </w:p>
          <w:p w:rsidR="007A7C28" w:rsidRPr="006E1D0A" w:rsidRDefault="007A7C28" w:rsidP="007A7C28">
            <w:pPr>
              <w:pStyle w:val="Default"/>
              <w:spacing w:line="360" w:lineRule="auto"/>
              <w:rPr>
                <w:rFonts w:asciiTheme="minorHAnsi" w:hAnsiTheme="minorHAnsi"/>
                <w:sz w:val="20"/>
                <w:szCs w:val="20"/>
              </w:rPr>
            </w:pPr>
            <w:r w:rsidRPr="006E1D0A">
              <w:rPr>
                <w:rFonts w:asciiTheme="minorHAnsi" w:hAnsiTheme="minorHAnsi"/>
                <w:sz w:val="20"/>
                <w:szCs w:val="20"/>
              </w:rPr>
              <w:t xml:space="preserve">3. Cell phones, computing devices, and portable music and entertainment systems may not be turned on or used during school fire drills or other emergency preparedness exercises. </w:t>
            </w:r>
          </w:p>
          <w:p w:rsidR="007A7C28" w:rsidRPr="006E1D0A" w:rsidRDefault="007A7C28" w:rsidP="007A7C28">
            <w:pPr>
              <w:pStyle w:val="Default"/>
              <w:spacing w:line="360" w:lineRule="auto"/>
              <w:rPr>
                <w:rFonts w:asciiTheme="minorHAnsi" w:hAnsiTheme="minorHAnsi"/>
                <w:sz w:val="20"/>
                <w:szCs w:val="20"/>
              </w:rPr>
            </w:pPr>
            <w:r w:rsidRPr="006E1D0A">
              <w:rPr>
                <w:rFonts w:asciiTheme="minorHAnsi" w:hAnsiTheme="minorHAnsi"/>
                <w:sz w:val="20"/>
                <w:szCs w:val="20"/>
              </w:rPr>
              <w:t xml:space="preserve">4. Cell phones, computing devices, and portable music and entertainment systems may not be used in locker rooms or bathrooms. </w:t>
            </w:r>
          </w:p>
          <w:p w:rsidR="007A7C28" w:rsidRPr="006E1D0A" w:rsidRDefault="007A7C28" w:rsidP="007A7C28">
            <w:pPr>
              <w:pStyle w:val="Default"/>
              <w:spacing w:line="360" w:lineRule="auto"/>
              <w:rPr>
                <w:rFonts w:asciiTheme="minorHAnsi" w:hAnsiTheme="minorHAnsi"/>
                <w:sz w:val="20"/>
                <w:szCs w:val="20"/>
              </w:rPr>
            </w:pPr>
            <w:r w:rsidRPr="006E1D0A">
              <w:rPr>
                <w:rFonts w:asciiTheme="minorHAnsi" w:hAnsiTheme="minorHAnsi"/>
                <w:sz w:val="20"/>
                <w:szCs w:val="20"/>
              </w:rPr>
              <w:t xml:space="preserve">5. Students who use cell phones, computing devices, and/or portable music and entertainment systems in violation of any provision of the DOE’s Discipline Code, the school’s policy, Chancellor’s regulation A-413, and/or the DOE’s Internet Acceptable Use and Safety Policy (“IAUSP”) will be subject to discipline in accordance with the guidance interventions and disciplinary responses set forth in the Discipline Code.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bCs/>
                <w:sz w:val="20"/>
                <w:szCs w:val="20"/>
              </w:rPr>
            </w:pPr>
            <w:r w:rsidRPr="006E1D0A">
              <w:rPr>
                <w:rFonts w:asciiTheme="minorHAnsi" w:hAnsiTheme="minorHAnsi"/>
                <w:sz w:val="20"/>
                <w:szCs w:val="20"/>
              </w:rPr>
              <w:t xml:space="preserve">B. </w:t>
            </w:r>
            <w:r w:rsidRPr="006E1D0A">
              <w:rPr>
                <w:rFonts w:asciiTheme="minorHAnsi" w:hAnsiTheme="minorHAnsi"/>
                <w:b/>
                <w:bCs/>
                <w:sz w:val="20"/>
                <w:szCs w:val="20"/>
              </w:rPr>
              <w:t xml:space="preserve">Cell phones may be used as set forth below </w:t>
            </w:r>
          </w:p>
          <w:p w:rsidR="007A7C28" w:rsidRPr="006E1D0A" w:rsidRDefault="007A7C28" w:rsidP="007A7C28">
            <w:pPr>
              <w:pStyle w:val="Default"/>
              <w:rPr>
                <w:rFonts w:asciiTheme="minorHAnsi" w:hAnsiTheme="minorHAnsi"/>
                <w:b/>
                <w:bCs/>
                <w:sz w:val="20"/>
                <w:szCs w:val="20"/>
              </w:rPr>
            </w:pPr>
          </w:p>
          <w:p w:rsidR="007A7C28" w:rsidRPr="006E1D0A" w:rsidRDefault="007A7C28" w:rsidP="007A7C28">
            <w:pPr>
              <w:pStyle w:val="Default"/>
              <w:rPr>
                <w:rFonts w:asciiTheme="minorHAnsi" w:hAnsiTheme="minorHAnsi"/>
                <w:b/>
                <w:sz w:val="20"/>
                <w:szCs w:val="20"/>
              </w:rPr>
            </w:pPr>
            <w:r w:rsidRPr="006E1D0A">
              <w:rPr>
                <w:rFonts w:asciiTheme="minorHAnsi" w:hAnsiTheme="minorHAnsi"/>
                <w:b/>
                <w:sz w:val="20"/>
                <w:szCs w:val="20"/>
              </w:rPr>
              <w:t xml:space="preserve">During the school day: </w:t>
            </w:r>
          </w:p>
          <w:p w:rsidR="007A7C28" w:rsidRPr="006E1D0A" w:rsidRDefault="007A7C28" w:rsidP="007A7C28">
            <w:pPr>
              <w:pStyle w:val="Default"/>
              <w:rPr>
                <w:rFonts w:asciiTheme="minorHAnsi" w:hAnsiTheme="minorHAnsi"/>
                <w:b/>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Cell phones may not be turned on or used while on school property. </w:t>
            </w:r>
          </w:p>
          <w:p w:rsidR="007A7C28"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Cell phones must be kept in a student’s book bag during the school day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sz w:val="20"/>
                <w:szCs w:val="20"/>
              </w:rPr>
            </w:pPr>
            <w:r w:rsidRPr="006E1D0A">
              <w:rPr>
                <w:rFonts w:asciiTheme="minorHAnsi" w:hAnsiTheme="minorHAnsi"/>
                <w:b/>
                <w:sz w:val="20"/>
                <w:szCs w:val="20"/>
              </w:rPr>
              <w:lastRenderedPageBreak/>
              <w:t xml:space="preserve">During after-school, school-sponsored programs or activities: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numPr>
                <w:ilvl w:val="0"/>
                <w:numId w:val="2"/>
              </w:numPr>
              <w:rPr>
                <w:rFonts w:asciiTheme="minorHAnsi" w:hAnsiTheme="minorHAnsi"/>
                <w:sz w:val="20"/>
                <w:szCs w:val="20"/>
              </w:rPr>
            </w:pPr>
            <w:r w:rsidRPr="006E1D0A">
              <w:rPr>
                <w:rFonts w:asciiTheme="minorHAnsi" w:hAnsiTheme="minorHAnsi"/>
                <w:sz w:val="20"/>
                <w:szCs w:val="20"/>
              </w:rPr>
              <w:t xml:space="preserve">Cell phones may not be turned on or used while on school property.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bCs/>
                <w:sz w:val="20"/>
                <w:szCs w:val="20"/>
              </w:rPr>
            </w:pPr>
            <w:r w:rsidRPr="006E1D0A">
              <w:rPr>
                <w:rFonts w:asciiTheme="minorHAnsi" w:hAnsiTheme="minorHAnsi"/>
                <w:sz w:val="20"/>
                <w:szCs w:val="20"/>
              </w:rPr>
              <w:t xml:space="preserve">C. </w:t>
            </w:r>
            <w:r w:rsidRPr="006E1D0A">
              <w:rPr>
                <w:rFonts w:asciiTheme="minorHAnsi" w:hAnsiTheme="minorHAnsi"/>
                <w:b/>
                <w:bCs/>
                <w:sz w:val="20"/>
                <w:szCs w:val="20"/>
              </w:rPr>
              <w:t xml:space="preserve">Computing devices may be used as set forth below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sz w:val="20"/>
                <w:szCs w:val="20"/>
              </w:rPr>
            </w:pPr>
            <w:r w:rsidRPr="006E1D0A">
              <w:rPr>
                <w:rFonts w:asciiTheme="minorHAnsi" w:hAnsiTheme="minorHAnsi"/>
                <w:b/>
                <w:sz w:val="20"/>
                <w:szCs w:val="20"/>
              </w:rPr>
              <w:t xml:space="preserve">During the school day: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Computing devices may not be turned on or used while on school property </w:t>
            </w: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Computing devices must be kept in a student’s book bag during the school day</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sz w:val="20"/>
                <w:szCs w:val="20"/>
              </w:rPr>
            </w:pPr>
            <w:r w:rsidRPr="006E1D0A">
              <w:rPr>
                <w:rFonts w:asciiTheme="minorHAnsi" w:hAnsiTheme="minorHAnsi"/>
                <w:b/>
                <w:sz w:val="20"/>
                <w:szCs w:val="20"/>
              </w:rPr>
              <w:t xml:space="preserve">During after-school, school-sponsored programs or activities: </w:t>
            </w:r>
          </w:p>
          <w:p w:rsidR="007A7C28" w:rsidRPr="006E1D0A" w:rsidRDefault="007A7C28" w:rsidP="007A7C28">
            <w:pPr>
              <w:pStyle w:val="Default"/>
              <w:rPr>
                <w:rFonts w:asciiTheme="minorHAnsi" w:hAnsiTheme="minorHAnsi"/>
                <w:b/>
                <w:sz w:val="20"/>
                <w:szCs w:val="20"/>
              </w:rPr>
            </w:pPr>
          </w:p>
          <w:p w:rsidR="007A7C28" w:rsidRPr="006E1D0A" w:rsidRDefault="007A7C28" w:rsidP="007A7C28">
            <w:pPr>
              <w:pStyle w:val="Default"/>
              <w:numPr>
                <w:ilvl w:val="0"/>
                <w:numId w:val="2"/>
              </w:numPr>
              <w:rPr>
                <w:rFonts w:asciiTheme="minorHAnsi" w:hAnsiTheme="minorHAnsi"/>
                <w:sz w:val="20"/>
                <w:szCs w:val="20"/>
              </w:rPr>
            </w:pPr>
            <w:r w:rsidRPr="006E1D0A">
              <w:rPr>
                <w:rFonts w:asciiTheme="minorHAnsi" w:hAnsiTheme="minorHAnsi"/>
                <w:sz w:val="20"/>
                <w:szCs w:val="20"/>
              </w:rPr>
              <w:t xml:space="preserve">Cell phones may not be turned on or used while on school property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bCs/>
                <w:sz w:val="20"/>
                <w:szCs w:val="20"/>
              </w:rPr>
            </w:pPr>
            <w:r w:rsidRPr="006E1D0A">
              <w:rPr>
                <w:rFonts w:asciiTheme="minorHAnsi" w:hAnsiTheme="minorHAnsi"/>
                <w:sz w:val="20"/>
                <w:szCs w:val="20"/>
              </w:rPr>
              <w:t xml:space="preserve">D. </w:t>
            </w:r>
            <w:r w:rsidRPr="006E1D0A">
              <w:rPr>
                <w:rFonts w:asciiTheme="minorHAnsi" w:hAnsiTheme="minorHAnsi"/>
                <w:b/>
                <w:bCs/>
                <w:sz w:val="20"/>
                <w:szCs w:val="20"/>
              </w:rPr>
              <w:t xml:space="preserve">Portable music and entertainment systems may be used as set forth below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sz w:val="20"/>
                <w:szCs w:val="20"/>
              </w:rPr>
            </w:pPr>
            <w:r w:rsidRPr="006E1D0A">
              <w:rPr>
                <w:rFonts w:asciiTheme="minorHAnsi" w:hAnsiTheme="minorHAnsi"/>
                <w:b/>
                <w:sz w:val="20"/>
                <w:szCs w:val="20"/>
              </w:rPr>
              <w:t xml:space="preserve">During the school day: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Portable music and entertainment systems may not be turned on or used while on school property </w:t>
            </w: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Portable music devices and entertainment must be kept in a student’s book bag during the school day</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b/>
                <w:sz w:val="20"/>
                <w:szCs w:val="20"/>
              </w:rPr>
            </w:pPr>
            <w:r w:rsidRPr="006E1D0A">
              <w:rPr>
                <w:rFonts w:asciiTheme="minorHAnsi" w:hAnsiTheme="minorHAnsi"/>
                <w:b/>
                <w:sz w:val="20"/>
                <w:szCs w:val="20"/>
              </w:rPr>
              <w:t xml:space="preserve">During after-school, school-sponsored activities: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numPr>
                <w:ilvl w:val="0"/>
                <w:numId w:val="2"/>
              </w:numPr>
              <w:rPr>
                <w:rFonts w:asciiTheme="minorHAnsi" w:hAnsiTheme="minorHAnsi"/>
                <w:sz w:val="20"/>
                <w:szCs w:val="20"/>
              </w:rPr>
            </w:pPr>
            <w:r w:rsidRPr="006E1D0A">
              <w:rPr>
                <w:rFonts w:asciiTheme="minorHAnsi" w:hAnsiTheme="minorHAnsi"/>
                <w:sz w:val="20"/>
                <w:szCs w:val="20"/>
              </w:rPr>
              <w:t xml:space="preserve">Portable music and entertainment systems may not be turned on or used while on school property </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F. </w:t>
            </w:r>
            <w:r w:rsidRPr="006E1D0A">
              <w:rPr>
                <w:rFonts w:asciiTheme="minorHAnsi" w:hAnsiTheme="minorHAnsi"/>
                <w:b/>
                <w:bCs/>
                <w:sz w:val="20"/>
                <w:szCs w:val="20"/>
              </w:rPr>
              <w:t xml:space="preserve">Confiscation and return of electronic items </w:t>
            </w: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If a student has their device out of their book bag or turned on in school without permission from a staff member, administration will take disciplinary action.  This action may include, but is not limited to:</w:t>
            </w:r>
          </w:p>
          <w:p w:rsidR="007A7C28" w:rsidRPr="006E1D0A" w:rsidRDefault="007A7C28" w:rsidP="007A7C28">
            <w:pPr>
              <w:pStyle w:val="Default"/>
              <w:rPr>
                <w:rFonts w:asciiTheme="minorHAnsi" w:hAnsiTheme="minorHAnsi"/>
                <w:sz w:val="20"/>
                <w:szCs w:val="20"/>
              </w:rPr>
            </w:pP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Warnings </w:t>
            </w: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Confiscation of item and return at end of school day </w:t>
            </w: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Confiscation of item and return following parent conference </w:t>
            </w:r>
          </w:p>
          <w:p w:rsidR="007A7C28" w:rsidRPr="006E1D0A" w:rsidRDefault="007A7C28" w:rsidP="007A7C28">
            <w:pPr>
              <w:pStyle w:val="Default"/>
              <w:rPr>
                <w:rFonts w:asciiTheme="minorHAnsi" w:hAnsiTheme="minorHAnsi"/>
                <w:sz w:val="20"/>
                <w:szCs w:val="20"/>
              </w:rPr>
            </w:pPr>
            <w:r w:rsidRPr="006E1D0A">
              <w:rPr>
                <w:rFonts w:asciiTheme="minorHAnsi" w:hAnsiTheme="minorHAnsi"/>
                <w:sz w:val="20"/>
                <w:szCs w:val="20"/>
              </w:rPr>
              <w:t xml:space="preserve">● Confiscation of item and return following student entering into behavioral contract </w:t>
            </w:r>
          </w:p>
          <w:p w:rsidR="007A7C28" w:rsidRPr="006E1D0A" w:rsidRDefault="007A7C28" w:rsidP="007A7C28">
            <w:pPr>
              <w:rPr>
                <w:sz w:val="20"/>
                <w:szCs w:val="20"/>
              </w:rPr>
            </w:pPr>
            <w:r w:rsidRPr="006E1D0A">
              <w:rPr>
                <w:sz w:val="20"/>
                <w:szCs w:val="20"/>
              </w:rPr>
              <w:t>● Revocation of privilege to bring item to school.</w:t>
            </w:r>
          </w:p>
          <w:p w:rsidR="0072330B" w:rsidRPr="0072330B" w:rsidRDefault="0072330B" w:rsidP="0072330B">
            <w:pPr>
              <w:spacing w:after="0" w:line="240" w:lineRule="auto"/>
              <w:rPr>
                <w:rFonts w:ascii="Times New Roman" w:eastAsia="Arial Unicode MS" w:hAnsi="Times New Roman" w:cs="Times New Roman"/>
                <w:b/>
                <w:bCs/>
                <w:i/>
                <w:sz w:val="24"/>
                <w:szCs w:val="28"/>
              </w:rPr>
            </w:pPr>
          </w:p>
        </w:tc>
      </w:tr>
    </w:tbl>
    <w:p w:rsidR="004D455E" w:rsidRPr="006E1D0A" w:rsidRDefault="004D455E" w:rsidP="007A7C28">
      <w:pPr>
        <w:pStyle w:val="Default"/>
        <w:rPr>
          <w:sz w:val="20"/>
          <w:szCs w:val="20"/>
        </w:rPr>
      </w:pPr>
    </w:p>
    <w:sectPr w:rsidR="004D455E" w:rsidRPr="006E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a Lisa Recut">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5936"/>
    <w:multiLevelType w:val="hybridMultilevel"/>
    <w:tmpl w:val="5368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74A0A"/>
    <w:multiLevelType w:val="hybridMultilevel"/>
    <w:tmpl w:val="CB90C9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B"/>
    <w:rsid w:val="00492417"/>
    <w:rsid w:val="004D455E"/>
    <w:rsid w:val="006E1D0A"/>
    <w:rsid w:val="0072330B"/>
    <w:rsid w:val="007A7C28"/>
    <w:rsid w:val="009C1F8C"/>
    <w:rsid w:val="00CE2E16"/>
    <w:rsid w:val="00C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60DAD-F61B-467D-9731-8FF1778C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3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30.0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2015-02-11T13:41:00Z</cp:lastPrinted>
  <dcterms:created xsi:type="dcterms:W3CDTF">2016-04-15T14:45:00Z</dcterms:created>
  <dcterms:modified xsi:type="dcterms:W3CDTF">2016-04-15T14:45:00Z</dcterms:modified>
</cp:coreProperties>
</file>