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01" w:rsidRPr="00326BB2" w:rsidRDefault="00054C01" w:rsidP="00054C01">
      <w:pPr>
        <w:keepNext/>
        <w:keepLines/>
        <w:spacing w:before="200" w:after="0" w:line="240" w:lineRule="auto"/>
        <w:outlineLvl w:val="4"/>
        <w:rPr>
          <w:rFonts w:ascii="Tahoma" w:eastAsiaTheme="majorEastAsia" w:hAnsi="Tahoma" w:cs="Tahoma"/>
          <w:b/>
          <w:color w:val="1F4D78" w:themeColor="accent1" w:themeShade="7F"/>
          <w:sz w:val="20"/>
          <w:szCs w:val="24"/>
        </w:rPr>
      </w:pPr>
      <w:r w:rsidRPr="00326BB2">
        <w:rPr>
          <w:rFonts w:ascii="Tahoma" w:eastAsiaTheme="majorEastAsia" w:hAnsi="Tahoma" w:cs="Tahoma"/>
          <w:b/>
          <w:color w:val="1F4D78" w:themeColor="accent1" w:themeShade="7F"/>
          <w:sz w:val="28"/>
          <w:szCs w:val="24"/>
        </w:rPr>
        <w:t>The Cambridge Family School</w:t>
      </w:r>
      <w:r w:rsidRPr="00326BB2">
        <w:rPr>
          <w:rFonts w:ascii="Tahoma" w:eastAsiaTheme="majorEastAsia" w:hAnsi="Tahoma" w:cs="Tahoma"/>
          <w:b/>
          <w:color w:val="1F4D78" w:themeColor="accent1" w:themeShade="7F"/>
          <w:sz w:val="28"/>
          <w:szCs w:val="24"/>
        </w:rPr>
        <w:tab/>
      </w:r>
      <w:r w:rsidRPr="00326BB2">
        <w:rPr>
          <w:rFonts w:ascii="Tahoma" w:eastAsiaTheme="majorEastAsia" w:hAnsi="Tahoma" w:cs="Tahoma"/>
          <w:b/>
          <w:color w:val="1F4D78" w:themeColor="accent1" w:themeShade="7F"/>
          <w:sz w:val="28"/>
          <w:szCs w:val="24"/>
        </w:rPr>
        <w:tab/>
      </w:r>
      <w:r w:rsidRPr="00326BB2">
        <w:rPr>
          <w:rFonts w:ascii="Tahoma" w:eastAsiaTheme="majorEastAsia" w:hAnsi="Tahoma" w:cs="Tahoma"/>
          <w:b/>
          <w:color w:val="1F4D78" w:themeColor="accent1" w:themeShade="7F"/>
          <w:sz w:val="28"/>
          <w:szCs w:val="24"/>
        </w:rPr>
        <w:tab/>
      </w:r>
      <w:r w:rsidRPr="00326BB2">
        <w:rPr>
          <w:rFonts w:ascii="Tahoma" w:eastAsiaTheme="majorEastAsia" w:hAnsi="Tahoma" w:cs="Tahoma"/>
          <w:b/>
          <w:color w:val="1F4D78" w:themeColor="accent1" w:themeShade="7F"/>
          <w:sz w:val="28"/>
          <w:szCs w:val="24"/>
        </w:rPr>
        <w:tab/>
        <w:t xml:space="preserve">  </w:t>
      </w:r>
      <w:r w:rsidRPr="00326BB2">
        <w:rPr>
          <w:rFonts w:ascii="Tahoma" w:eastAsiaTheme="majorEastAsia" w:hAnsi="Tahoma" w:cs="Tahoma"/>
          <w:b/>
          <w:color w:val="1F4D78" w:themeColor="accent1" w:themeShade="7F"/>
          <w:sz w:val="28"/>
          <w:szCs w:val="24"/>
        </w:rPr>
        <w:tab/>
      </w:r>
      <w:r>
        <w:rPr>
          <w:rFonts w:ascii="Tahoma" w:eastAsiaTheme="majorEastAsia" w:hAnsi="Tahoma" w:cs="Tahoma"/>
          <w:b/>
          <w:color w:val="1F4D78" w:themeColor="accent1" w:themeShade="7F"/>
          <w:sz w:val="28"/>
          <w:szCs w:val="24"/>
        </w:rPr>
        <w:t xml:space="preserve">      </w:t>
      </w:r>
      <w:r w:rsidRPr="00326BB2">
        <w:rPr>
          <w:rFonts w:ascii="Tahoma" w:eastAsiaTheme="majorEastAsia" w:hAnsi="Tahoma" w:cs="Tahoma"/>
          <w:b/>
          <w:color w:val="1F4D78" w:themeColor="accent1" w:themeShade="7F"/>
          <w:sz w:val="20"/>
          <w:szCs w:val="20"/>
        </w:rPr>
        <w:t xml:space="preserve">Anne-Marie </w:t>
      </w:r>
      <w:proofErr w:type="spellStart"/>
      <w:r w:rsidRPr="00326BB2">
        <w:rPr>
          <w:rFonts w:ascii="Tahoma" w:eastAsiaTheme="majorEastAsia" w:hAnsi="Tahoma" w:cs="Tahoma"/>
          <w:b/>
          <w:color w:val="1F4D78" w:themeColor="accent1" w:themeShade="7F"/>
          <w:sz w:val="20"/>
          <w:szCs w:val="20"/>
        </w:rPr>
        <w:t>Scalfaro</w:t>
      </w:r>
      <w:proofErr w:type="spellEnd"/>
      <w:r w:rsidRPr="00326BB2">
        <w:rPr>
          <w:rFonts w:ascii="Tahoma" w:eastAsiaTheme="majorEastAsia" w:hAnsi="Tahoma" w:cs="Tahoma"/>
          <w:b/>
          <w:color w:val="1F4D78" w:themeColor="accent1" w:themeShade="7F"/>
          <w:sz w:val="20"/>
          <w:szCs w:val="24"/>
        </w:rPr>
        <w:t xml:space="preserve">, Principal </w:t>
      </w:r>
    </w:p>
    <w:p w:rsidR="00054C01" w:rsidRPr="00326BB2" w:rsidRDefault="00054C01" w:rsidP="00054C01">
      <w:pPr>
        <w:widowControl w:val="0"/>
        <w:autoSpaceDE w:val="0"/>
        <w:autoSpaceDN w:val="0"/>
        <w:adjustRightInd w:val="0"/>
        <w:spacing w:after="0" w:line="240" w:lineRule="auto"/>
        <w:ind w:left="20"/>
        <w:outlineLvl w:val="5"/>
        <w:rPr>
          <w:rFonts w:ascii="Tahoma" w:eastAsiaTheme="minorEastAsia" w:hAnsi="Tahoma" w:cs="Tahoma"/>
          <w:b/>
          <w:bCs/>
          <w:sz w:val="20"/>
          <w:szCs w:val="20"/>
        </w:rPr>
      </w:pPr>
      <w:r w:rsidRPr="00326BB2">
        <w:rPr>
          <w:rFonts w:ascii="Tahoma" w:eastAsiaTheme="minorEastAsia" w:hAnsi="Tahoma" w:cs="Tahoma"/>
          <w:b/>
          <w:bCs/>
          <w:sz w:val="26"/>
          <w:szCs w:val="26"/>
        </w:rPr>
        <w:t>P.S. 68 Queens</w:t>
      </w:r>
      <w:r w:rsidRPr="00326BB2">
        <w:rPr>
          <w:rFonts w:ascii="Tahoma" w:eastAsiaTheme="minorEastAsia" w:hAnsi="Tahoma" w:cs="Tahoma"/>
          <w:b/>
          <w:bCs/>
          <w:sz w:val="26"/>
          <w:szCs w:val="26"/>
        </w:rPr>
        <w:tab/>
      </w:r>
      <w:r w:rsidRPr="00326BB2">
        <w:rPr>
          <w:rFonts w:ascii="Tahoma" w:eastAsiaTheme="minorEastAsia" w:hAnsi="Tahoma" w:cs="Tahoma"/>
          <w:b/>
          <w:bCs/>
          <w:sz w:val="26"/>
          <w:szCs w:val="26"/>
        </w:rPr>
        <w:tab/>
      </w:r>
      <w:r w:rsidRPr="00326BB2">
        <w:rPr>
          <w:rFonts w:ascii="Tahoma" w:eastAsiaTheme="minorEastAsia" w:hAnsi="Tahoma" w:cs="Tahoma"/>
          <w:b/>
          <w:bCs/>
          <w:sz w:val="26"/>
          <w:szCs w:val="26"/>
        </w:rPr>
        <w:tab/>
      </w:r>
      <w:r w:rsidRPr="00326BB2">
        <w:rPr>
          <w:rFonts w:ascii="Tahoma" w:eastAsiaTheme="minorEastAsia" w:hAnsi="Tahoma" w:cs="Tahoma"/>
          <w:b/>
          <w:bCs/>
          <w:sz w:val="26"/>
          <w:szCs w:val="26"/>
        </w:rPr>
        <w:tab/>
      </w:r>
      <w:r w:rsidRPr="00326BB2">
        <w:rPr>
          <w:rFonts w:ascii="Tahoma" w:eastAsiaTheme="minorEastAsia" w:hAnsi="Tahoma" w:cs="Tahoma"/>
          <w:b/>
          <w:bCs/>
          <w:sz w:val="26"/>
          <w:szCs w:val="26"/>
        </w:rPr>
        <w:tab/>
      </w:r>
      <w:r w:rsidRPr="00326BB2">
        <w:rPr>
          <w:rFonts w:ascii="Tahoma" w:eastAsiaTheme="minorEastAsia" w:hAnsi="Tahoma" w:cs="Tahoma"/>
          <w:b/>
          <w:bCs/>
          <w:sz w:val="26"/>
          <w:szCs w:val="26"/>
        </w:rPr>
        <w:tab/>
      </w:r>
      <w:r w:rsidRPr="00326BB2">
        <w:rPr>
          <w:rFonts w:ascii="Tahoma" w:eastAsiaTheme="minorEastAsia" w:hAnsi="Tahoma" w:cs="Tahoma"/>
          <w:b/>
          <w:bCs/>
          <w:sz w:val="26"/>
          <w:szCs w:val="26"/>
        </w:rPr>
        <w:tab/>
      </w:r>
      <w:r w:rsidRPr="00326BB2">
        <w:rPr>
          <w:rFonts w:ascii="Tahoma" w:eastAsiaTheme="minorEastAsia" w:hAnsi="Tahoma" w:cs="Tahoma"/>
          <w:b/>
          <w:bCs/>
          <w:sz w:val="26"/>
          <w:szCs w:val="26"/>
        </w:rPr>
        <w:tab/>
      </w:r>
      <w:r>
        <w:rPr>
          <w:rFonts w:ascii="Tahoma" w:eastAsiaTheme="minorEastAsia" w:hAnsi="Tahoma" w:cs="Tahoma"/>
          <w:b/>
          <w:bCs/>
          <w:sz w:val="26"/>
          <w:szCs w:val="26"/>
        </w:rPr>
        <w:t xml:space="preserve">           </w:t>
      </w:r>
      <w:r w:rsidRPr="00326BB2">
        <w:rPr>
          <w:rFonts w:ascii="Tahoma" w:eastAsiaTheme="minorEastAsia" w:hAnsi="Tahoma" w:cs="Tahoma"/>
          <w:b/>
          <w:i/>
          <w:iCs/>
          <w:sz w:val="16"/>
          <w:szCs w:val="26"/>
        </w:rPr>
        <w:t>Karen Gleason, Assistant Principal</w:t>
      </w:r>
    </w:p>
    <w:p w:rsidR="00054C01" w:rsidRPr="00326BB2" w:rsidRDefault="00054C01" w:rsidP="00054C01">
      <w:pPr>
        <w:widowControl w:val="0"/>
        <w:autoSpaceDE w:val="0"/>
        <w:autoSpaceDN w:val="0"/>
        <w:adjustRightInd w:val="0"/>
        <w:spacing w:after="0" w:line="240" w:lineRule="auto"/>
        <w:ind w:left="20"/>
        <w:outlineLvl w:val="5"/>
        <w:rPr>
          <w:rFonts w:ascii="Tahoma" w:eastAsiaTheme="minorEastAsia" w:hAnsi="Tahoma" w:cs="Tahoma"/>
          <w:b/>
          <w:i/>
          <w:iCs/>
          <w:sz w:val="20"/>
          <w:szCs w:val="20"/>
        </w:rPr>
      </w:pPr>
      <w:r w:rsidRPr="00326BB2">
        <w:rPr>
          <w:rFonts w:ascii="Tahoma" w:eastAsiaTheme="minorEastAsia" w:hAnsi="Tahoma" w:cs="Tahoma"/>
          <w:b/>
          <w:bCs/>
          <w:sz w:val="20"/>
          <w:szCs w:val="26"/>
          <w:u w:val="single"/>
        </w:rPr>
        <w:t>“Where Learning Never Ends”</w:t>
      </w:r>
      <w:r w:rsidRPr="00326BB2">
        <w:rPr>
          <w:rFonts w:ascii="Tahoma" w:eastAsiaTheme="minorEastAsia" w:hAnsi="Tahoma" w:cs="Tahoma"/>
          <w:b/>
          <w:bCs/>
          <w:sz w:val="20"/>
          <w:szCs w:val="26"/>
          <w:u w:val="single"/>
        </w:rPr>
        <w:tab/>
      </w:r>
      <w:r w:rsidRPr="00326BB2">
        <w:rPr>
          <w:rFonts w:ascii="Tahoma" w:eastAsiaTheme="minorEastAsia" w:hAnsi="Tahoma" w:cs="Tahoma"/>
          <w:b/>
          <w:bCs/>
          <w:sz w:val="20"/>
          <w:szCs w:val="26"/>
          <w:u w:val="single"/>
        </w:rPr>
        <w:tab/>
      </w:r>
      <w:r w:rsidRPr="00326BB2">
        <w:rPr>
          <w:rFonts w:ascii="Tahoma" w:eastAsiaTheme="minorEastAsia" w:hAnsi="Tahoma" w:cs="Tahoma"/>
          <w:b/>
          <w:bCs/>
          <w:sz w:val="20"/>
          <w:szCs w:val="26"/>
          <w:u w:val="single"/>
        </w:rPr>
        <w:tab/>
      </w:r>
      <w:r w:rsidRPr="00326BB2">
        <w:rPr>
          <w:rFonts w:ascii="Tahoma" w:eastAsiaTheme="minorEastAsia" w:hAnsi="Tahoma" w:cs="Tahoma"/>
          <w:b/>
          <w:bCs/>
          <w:sz w:val="20"/>
          <w:szCs w:val="26"/>
          <w:u w:val="single"/>
        </w:rPr>
        <w:tab/>
      </w:r>
      <w:r w:rsidRPr="00326BB2">
        <w:rPr>
          <w:rFonts w:ascii="Tahoma" w:eastAsiaTheme="minorEastAsia" w:hAnsi="Tahoma" w:cs="Tahoma"/>
          <w:b/>
          <w:bCs/>
          <w:sz w:val="20"/>
          <w:szCs w:val="26"/>
          <w:u w:val="single"/>
        </w:rPr>
        <w:tab/>
      </w:r>
      <w:r w:rsidRPr="00326BB2">
        <w:rPr>
          <w:rFonts w:ascii="Tahoma" w:eastAsiaTheme="minorEastAsia" w:hAnsi="Tahoma" w:cs="Tahoma"/>
          <w:b/>
          <w:bCs/>
          <w:sz w:val="26"/>
          <w:szCs w:val="26"/>
          <w:u w:val="single"/>
        </w:rPr>
        <w:tab/>
      </w:r>
      <w:r>
        <w:rPr>
          <w:rFonts w:ascii="Tahoma" w:eastAsiaTheme="minorEastAsia" w:hAnsi="Tahoma" w:cs="Tahoma"/>
          <w:b/>
          <w:bCs/>
          <w:sz w:val="26"/>
          <w:szCs w:val="26"/>
          <w:u w:val="single"/>
        </w:rPr>
        <w:t xml:space="preserve">        </w:t>
      </w:r>
      <w:r w:rsidRPr="00326BB2">
        <w:rPr>
          <w:rFonts w:ascii="Tahoma" w:eastAsiaTheme="minorEastAsia" w:hAnsi="Tahoma" w:cs="Tahoma"/>
          <w:b/>
          <w:bCs/>
          <w:i/>
          <w:sz w:val="16"/>
          <w:szCs w:val="16"/>
          <w:u w:val="single"/>
        </w:rPr>
        <w:t>Kathleen Murphy, Assistant Principal</w:t>
      </w:r>
    </w:p>
    <w:p w:rsidR="00054C01" w:rsidRPr="00326BB2" w:rsidRDefault="00054C01" w:rsidP="00054C01">
      <w:pPr>
        <w:spacing w:after="0" w:line="240" w:lineRule="auto"/>
        <w:rPr>
          <w:rFonts w:ascii="Tahoma" w:eastAsiaTheme="minorEastAsia" w:hAnsi="Tahoma" w:cs="Tahoma"/>
          <w:b/>
          <w:bCs/>
          <w:sz w:val="20"/>
          <w:szCs w:val="24"/>
        </w:rPr>
      </w:pPr>
      <w:r w:rsidRPr="00326BB2">
        <w:rPr>
          <w:rFonts w:ascii="Tahoma" w:eastAsiaTheme="minorEastAsia" w:hAnsi="Tahoma" w:cs="Tahoma"/>
          <w:b/>
          <w:sz w:val="20"/>
          <w:szCs w:val="24"/>
        </w:rPr>
        <w:t>59-09 St. Felix Avenue</w:t>
      </w:r>
      <w:r w:rsidRPr="00326BB2">
        <w:rPr>
          <w:rFonts w:ascii="Tahoma" w:eastAsiaTheme="minorEastAsia" w:hAnsi="Tahoma" w:cs="Tahoma"/>
          <w:b/>
          <w:sz w:val="20"/>
          <w:szCs w:val="24"/>
        </w:rPr>
        <w:tab/>
      </w:r>
    </w:p>
    <w:p w:rsidR="00054C01" w:rsidRPr="00326BB2" w:rsidRDefault="00054C01" w:rsidP="00054C01">
      <w:pPr>
        <w:spacing w:after="0" w:line="240" w:lineRule="auto"/>
        <w:rPr>
          <w:rFonts w:ascii="Tahoma" w:eastAsiaTheme="minorEastAsia" w:hAnsi="Tahoma" w:cs="Tahoma"/>
          <w:b/>
          <w:bCs/>
          <w:sz w:val="20"/>
          <w:szCs w:val="24"/>
        </w:rPr>
      </w:pPr>
      <w:r w:rsidRPr="00326BB2">
        <w:rPr>
          <w:rFonts w:ascii="Tahoma" w:eastAsiaTheme="minorEastAsia" w:hAnsi="Tahoma" w:cs="Tahoma"/>
          <w:b/>
          <w:sz w:val="20"/>
          <w:szCs w:val="24"/>
        </w:rPr>
        <w:t>Ridgewood, N.Y. 11385</w:t>
      </w:r>
    </w:p>
    <w:p w:rsidR="00054C01" w:rsidRPr="00326BB2" w:rsidRDefault="00054C01" w:rsidP="00054C01">
      <w:pPr>
        <w:spacing w:after="0" w:line="240" w:lineRule="auto"/>
        <w:rPr>
          <w:rFonts w:ascii="Tahoma" w:eastAsiaTheme="minorEastAsia" w:hAnsi="Tahoma" w:cs="Tahoma"/>
          <w:b/>
          <w:bCs/>
          <w:sz w:val="20"/>
          <w:szCs w:val="24"/>
        </w:rPr>
      </w:pPr>
      <w:r w:rsidRPr="00326BB2">
        <w:rPr>
          <w:rFonts w:ascii="Tahoma" w:eastAsiaTheme="minorEastAsia" w:hAnsi="Tahoma" w:cs="Tahoma"/>
          <w:b/>
          <w:sz w:val="20"/>
          <w:szCs w:val="24"/>
        </w:rPr>
        <w:t>Phone: 718-821-7246</w:t>
      </w:r>
    </w:p>
    <w:p w:rsidR="00054C01" w:rsidRDefault="00054C01" w:rsidP="00054C01">
      <w:pPr>
        <w:spacing w:after="0" w:line="240" w:lineRule="auto"/>
        <w:rPr>
          <w:rFonts w:ascii="Tahoma" w:eastAsiaTheme="minorEastAsia" w:hAnsi="Tahoma" w:cs="Tahoma"/>
          <w:b/>
          <w:sz w:val="20"/>
          <w:szCs w:val="24"/>
        </w:rPr>
      </w:pPr>
      <w:r w:rsidRPr="00326BB2">
        <w:rPr>
          <w:rFonts w:ascii="Tahoma" w:eastAsiaTheme="minorEastAsia" w:hAnsi="Tahoma" w:cs="Tahoma"/>
          <w:b/>
          <w:sz w:val="20"/>
          <w:szCs w:val="24"/>
        </w:rPr>
        <w:t>Fax: 718-497-8945</w:t>
      </w:r>
    </w:p>
    <w:p w:rsidR="00054C01" w:rsidRPr="00054C01" w:rsidRDefault="00054C01" w:rsidP="00054C01">
      <w:pPr>
        <w:spacing w:after="0" w:line="240" w:lineRule="auto"/>
        <w:rPr>
          <w:rFonts w:ascii="Tahoma" w:eastAsiaTheme="minorEastAsia" w:hAnsi="Tahoma" w:cs="Tahoma"/>
          <w:b/>
          <w:sz w:val="20"/>
          <w:szCs w:val="24"/>
        </w:rPr>
      </w:pPr>
      <w:r>
        <w:rPr>
          <w:rFonts w:ascii="Tahoma" w:eastAsiaTheme="minorEastAsia" w:hAnsi="Tahoma" w:cs="Tahoma"/>
          <w:b/>
          <w:sz w:val="20"/>
          <w:szCs w:val="24"/>
        </w:rPr>
        <w:t xml:space="preserve">www.PS 68Q.org </w:t>
      </w:r>
    </w:p>
    <w:p w:rsidR="00054C01" w:rsidRPr="006F38F1" w:rsidRDefault="00054C01" w:rsidP="00054C01">
      <w:pPr>
        <w:spacing w:after="0" w:line="240" w:lineRule="auto"/>
        <w:jc w:val="right"/>
        <w:rPr>
          <w:rFonts w:ascii="Tahoma" w:eastAsiaTheme="minorEastAsia" w:hAnsi="Tahoma" w:cs="Tahoma"/>
          <w:sz w:val="28"/>
          <w:szCs w:val="28"/>
        </w:rPr>
      </w:pPr>
      <w:r>
        <w:rPr>
          <w:rFonts w:ascii="Tahoma" w:eastAsiaTheme="minorEastAsia" w:hAnsi="Tahoma" w:cs="Tahoma"/>
          <w:sz w:val="28"/>
          <w:szCs w:val="28"/>
        </w:rPr>
        <w:t>September 2017</w:t>
      </w:r>
    </w:p>
    <w:p w:rsidR="00054C01" w:rsidRDefault="00054C01" w:rsidP="00054C01">
      <w:pPr>
        <w:widowControl w:val="0"/>
        <w:tabs>
          <w:tab w:val="left" w:pos="1559"/>
        </w:tabs>
        <w:kinsoku w:val="0"/>
        <w:overflowPunct w:val="0"/>
        <w:autoSpaceDE w:val="0"/>
        <w:autoSpaceDN w:val="0"/>
        <w:adjustRightInd w:val="0"/>
        <w:spacing w:after="0" w:line="240" w:lineRule="auto"/>
        <w:jc w:val="center"/>
        <w:rPr>
          <w:rFonts w:ascii="Tahoma" w:eastAsiaTheme="minorEastAsia" w:hAnsi="Tahoma" w:cs="Tahoma"/>
          <w:color w:val="000000"/>
          <w:sz w:val="24"/>
          <w:szCs w:val="24"/>
        </w:rPr>
      </w:pPr>
      <w:r>
        <w:rPr>
          <w:noProof/>
          <w:color w:val="0000FF"/>
        </w:rPr>
        <w:drawing>
          <wp:inline distT="0" distB="0" distL="0" distR="0" wp14:anchorId="1DAB181B" wp14:editId="5383C488">
            <wp:extent cx="2286000" cy="731236"/>
            <wp:effectExtent l="0" t="0" r="0" b="0"/>
            <wp:docPr id="2" name="irc_mi" descr="Image result for grading polic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ading policy">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1417" cy="764956"/>
                    </a:xfrm>
                    <a:prstGeom prst="rect">
                      <a:avLst/>
                    </a:prstGeom>
                    <a:noFill/>
                    <a:ln>
                      <a:noFill/>
                    </a:ln>
                  </pic:spPr>
                </pic:pic>
              </a:graphicData>
            </a:graphic>
          </wp:inline>
        </w:drawing>
      </w:r>
    </w:p>
    <w:p w:rsidR="00054C01" w:rsidRPr="00326BB2" w:rsidRDefault="00054C01" w:rsidP="00054C01">
      <w:pPr>
        <w:widowControl w:val="0"/>
        <w:tabs>
          <w:tab w:val="left" w:pos="1559"/>
        </w:tabs>
        <w:kinsoku w:val="0"/>
        <w:overflowPunct w:val="0"/>
        <w:autoSpaceDE w:val="0"/>
        <w:autoSpaceDN w:val="0"/>
        <w:adjustRightInd w:val="0"/>
        <w:spacing w:after="0" w:line="240" w:lineRule="auto"/>
        <w:jc w:val="center"/>
        <w:rPr>
          <w:rFonts w:ascii="Tahoma" w:eastAsiaTheme="minorEastAsia" w:hAnsi="Tahoma" w:cs="Tahoma"/>
          <w:color w:val="000000"/>
          <w:sz w:val="24"/>
          <w:szCs w:val="24"/>
        </w:rPr>
      </w:pPr>
    </w:p>
    <w:p w:rsidR="00054C01" w:rsidRPr="00731B60" w:rsidRDefault="00054C01" w:rsidP="00054C01">
      <w:pPr>
        <w:rPr>
          <w:rFonts w:ascii="Tahoma" w:hAnsi="Tahoma" w:cs="Tahoma"/>
          <w:sz w:val="24"/>
          <w:szCs w:val="24"/>
        </w:rPr>
      </w:pPr>
      <w:r w:rsidRPr="00731B60">
        <w:rPr>
          <w:rFonts w:ascii="Tahoma" w:hAnsi="Tahoma" w:cs="Tahoma"/>
          <w:sz w:val="24"/>
          <w:szCs w:val="24"/>
        </w:rPr>
        <w:t>PS</w:t>
      </w:r>
      <w:r>
        <w:rPr>
          <w:rFonts w:ascii="Tahoma" w:hAnsi="Tahoma" w:cs="Tahoma"/>
          <w:sz w:val="24"/>
          <w:szCs w:val="24"/>
        </w:rPr>
        <w:t xml:space="preserve"> </w:t>
      </w:r>
      <w:r w:rsidRPr="00731B60">
        <w:rPr>
          <w:rFonts w:ascii="Tahoma" w:hAnsi="Tahoma" w:cs="Tahoma"/>
          <w:sz w:val="24"/>
          <w:szCs w:val="24"/>
        </w:rPr>
        <w:t>68</w:t>
      </w:r>
      <w:r>
        <w:rPr>
          <w:rFonts w:ascii="Tahoma" w:hAnsi="Tahoma" w:cs="Tahoma"/>
          <w:sz w:val="24"/>
          <w:szCs w:val="24"/>
        </w:rPr>
        <w:t xml:space="preserve">’s </w:t>
      </w:r>
      <w:r w:rsidRPr="00731B60">
        <w:rPr>
          <w:rFonts w:ascii="Tahoma" w:hAnsi="Tahoma" w:cs="Tahoma"/>
          <w:sz w:val="24"/>
          <w:szCs w:val="24"/>
        </w:rPr>
        <w:t xml:space="preserve">grading policy is uniform across the entire school.  </w:t>
      </w:r>
    </w:p>
    <w:p w:rsidR="00054C01" w:rsidRPr="00731B60" w:rsidRDefault="00054C01" w:rsidP="00054C01">
      <w:pPr>
        <w:pStyle w:val="ListParagraph"/>
        <w:numPr>
          <w:ilvl w:val="0"/>
          <w:numId w:val="1"/>
        </w:numPr>
        <w:rPr>
          <w:rFonts w:ascii="Tahoma" w:hAnsi="Tahoma" w:cs="Tahoma"/>
          <w:sz w:val="24"/>
          <w:szCs w:val="24"/>
        </w:rPr>
      </w:pPr>
      <w:r>
        <w:rPr>
          <w:rFonts w:ascii="Tahoma" w:hAnsi="Tahoma" w:cs="Tahoma"/>
          <w:sz w:val="24"/>
          <w:szCs w:val="24"/>
        </w:rPr>
        <w:t xml:space="preserve">Report cards are distributed </w:t>
      </w:r>
      <w:r w:rsidRPr="00731B60">
        <w:rPr>
          <w:rFonts w:ascii="Tahoma" w:hAnsi="Tahoma" w:cs="Tahoma"/>
          <w:sz w:val="24"/>
          <w:szCs w:val="24"/>
        </w:rPr>
        <w:t xml:space="preserve">3 </w:t>
      </w:r>
      <w:r>
        <w:rPr>
          <w:rFonts w:ascii="Tahoma" w:hAnsi="Tahoma" w:cs="Tahoma"/>
          <w:sz w:val="24"/>
          <w:szCs w:val="24"/>
        </w:rPr>
        <w:t>times per year (November, March</w:t>
      </w:r>
      <w:r w:rsidRPr="00731B60">
        <w:rPr>
          <w:rFonts w:ascii="Tahoma" w:hAnsi="Tahoma" w:cs="Tahoma"/>
          <w:sz w:val="24"/>
          <w:szCs w:val="24"/>
        </w:rPr>
        <w:t xml:space="preserve">, </w:t>
      </w:r>
      <w:r>
        <w:rPr>
          <w:rFonts w:ascii="Tahoma" w:hAnsi="Tahoma" w:cs="Tahoma"/>
          <w:sz w:val="24"/>
          <w:szCs w:val="24"/>
        </w:rPr>
        <w:t xml:space="preserve">and </w:t>
      </w:r>
      <w:r w:rsidRPr="00731B60">
        <w:rPr>
          <w:rFonts w:ascii="Tahoma" w:hAnsi="Tahoma" w:cs="Tahoma"/>
          <w:sz w:val="24"/>
          <w:szCs w:val="24"/>
        </w:rPr>
        <w:t>June)</w:t>
      </w:r>
    </w:p>
    <w:p w:rsidR="00054C01" w:rsidRPr="00731B60" w:rsidRDefault="00054C01" w:rsidP="00054C01">
      <w:pPr>
        <w:pStyle w:val="ListParagraph"/>
        <w:numPr>
          <w:ilvl w:val="0"/>
          <w:numId w:val="1"/>
        </w:numPr>
        <w:rPr>
          <w:rFonts w:ascii="Tahoma" w:hAnsi="Tahoma" w:cs="Tahoma"/>
          <w:sz w:val="24"/>
          <w:szCs w:val="24"/>
        </w:rPr>
      </w:pPr>
      <w:r w:rsidRPr="00731B60">
        <w:rPr>
          <w:rFonts w:ascii="Tahoma" w:hAnsi="Tahoma" w:cs="Tahoma"/>
          <w:sz w:val="24"/>
          <w:szCs w:val="24"/>
        </w:rPr>
        <w:t>Grades are cumulative and show students’ progress throughout the year</w:t>
      </w:r>
    </w:p>
    <w:p w:rsidR="00054C01" w:rsidRPr="00731B60" w:rsidRDefault="00054C01" w:rsidP="00054C01">
      <w:pPr>
        <w:pStyle w:val="ListParagraph"/>
        <w:numPr>
          <w:ilvl w:val="0"/>
          <w:numId w:val="1"/>
        </w:numPr>
        <w:rPr>
          <w:rFonts w:ascii="Tahoma" w:hAnsi="Tahoma" w:cs="Tahoma"/>
          <w:sz w:val="24"/>
          <w:szCs w:val="24"/>
        </w:rPr>
      </w:pPr>
      <w:r w:rsidRPr="00731B60">
        <w:rPr>
          <w:rFonts w:ascii="Tahoma" w:hAnsi="Tahoma" w:cs="Tahoma"/>
          <w:sz w:val="24"/>
          <w:szCs w:val="24"/>
        </w:rPr>
        <w:t>All courses are graded on a 1-4 scale</w:t>
      </w:r>
      <w:r>
        <w:rPr>
          <w:rFonts w:ascii="Tahoma" w:hAnsi="Tahoma" w:cs="Tahoma"/>
          <w:sz w:val="24"/>
          <w:szCs w:val="24"/>
        </w:rPr>
        <w:t xml:space="preserve"> except </w:t>
      </w:r>
      <w:r w:rsidRPr="00731B60">
        <w:rPr>
          <w:rFonts w:ascii="Tahoma" w:hAnsi="Tahoma" w:cs="Tahoma"/>
          <w:sz w:val="24"/>
          <w:szCs w:val="24"/>
        </w:rPr>
        <w:t>Art &amp; Health</w:t>
      </w:r>
      <w:r>
        <w:rPr>
          <w:rFonts w:ascii="Tahoma" w:hAnsi="Tahoma" w:cs="Tahoma"/>
          <w:sz w:val="24"/>
          <w:szCs w:val="24"/>
        </w:rPr>
        <w:t xml:space="preserve"> which are graded pass (P)/ fail (F).  </w:t>
      </w:r>
    </w:p>
    <w:p w:rsidR="00E64588" w:rsidRDefault="00054C01">
      <w:pPr>
        <w:rPr>
          <w:rFonts w:ascii="Tahoma" w:hAnsi="Tahoma" w:cs="Tahoma"/>
          <w:sz w:val="24"/>
          <w:szCs w:val="24"/>
        </w:rPr>
      </w:pPr>
      <w:r>
        <w:rPr>
          <w:rFonts w:ascii="Tahoma" w:hAnsi="Tahoma" w:cs="Tahoma"/>
          <w:sz w:val="24"/>
          <w:szCs w:val="24"/>
        </w:rPr>
        <w:t>T</w:t>
      </w:r>
      <w:r w:rsidRPr="00731B60">
        <w:rPr>
          <w:rFonts w:ascii="Tahoma" w:hAnsi="Tahoma" w:cs="Tahoma"/>
          <w:sz w:val="24"/>
          <w:szCs w:val="24"/>
        </w:rPr>
        <w:t xml:space="preserve">he school wide </w:t>
      </w:r>
      <w:r>
        <w:rPr>
          <w:rFonts w:ascii="Tahoma" w:hAnsi="Tahoma" w:cs="Tahoma"/>
          <w:sz w:val="24"/>
          <w:szCs w:val="24"/>
        </w:rPr>
        <w:t xml:space="preserve">grading </w:t>
      </w:r>
      <w:r w:rsidRPr="00731B60">
        <w:rPr>
          <w:rFonts w:ascii="Tahoma" w:hAnsi="Tahoma" w:cs="Tahoma"/>
          <w:sz w:val="24"/>
          <w:szCs w:val="24"/>
        </w:rPr>
        <w:t>policy</w:t>
      </w:r>
      <w:r>
        <w:rPr>
          <w:rFonts w:ascii="Tahoma" w:hAnsi="Tahoma" w:cs="Tahoma"/>
          <w:sz w:val="24"/>
          <w:szCs w:val="24"/>
        </w:rPr>
        <w:t xml:space="preserve"> uses</w:t>
      </w:r>
      <w:r w:rsidRPr="00731B60">
        <w:rPr>
          <w:rFonts w:ascii="Tahoma" w:hAnsi="Tahoma" w:cs="Tahoma"/>
          <w:sz w:val="24"/>
          <w:szCs w:val="24"/>
        </w:rPr>
        <w:t xml:space="preserve"> </w:t>
      </w:r>
      <w:r>
        <w:rPr>
          <w:rFonts w:ascii="Tahoma" w:hAnsi="Tahoma" w:cs="Tahoma"/>
          <w:sz w:val="24"/>
          <w:szCs w:val="24"/>
        </w:rPr>
        <w:t>subject specific</w:t>
      </w:r>
      <w:r w:rsidRPr="00731B60">
        <w:rPr>
          <w:rFonts w:ascii="Tahoma" w:hAnsi="Tahoma" w:cs="Tahoma"/>
          <w:sz w:val="24"/>
          <w:szCs w:val="24"/>
        </w:rPr>
        <w:t xml:space="preserve"> benchmark charts </w:t>
      </w:r>
      <w:r>
        <w:rPr>
          <w:rFonts w:ascii="Tahoma" w:hAnsi="Tahoma" w:cs="Tahoma"/>
          <w:sz w:val="24"/>
          <w:szCs w:val="24"/>
        </w:rPr>
        <w:t>such as Teacher’s College benchmark reading levels and the Teacher’s College Rubrics for Narrative, Informational and Opinion Writing in order to determine these grades.  Math and content area subjects will be graded based up</w:t>
      </w:r>
      <w:r>
        <w:rPr>
          <w:rFonts w:ascii="Tahoma" w:hAnsi="Tahoma" w:cs="Tahoma"/>
          <w:sz w:val="24"/>
          <w:szCs w:val="24"/>
        </w:rPr>
        <w:t>on unit tests and/or projects.</w:t>
      </w:r>
    </w:p>
    <w:p w:rsidR="00054C01" w:rsidRDefault="00054C01">
      <w:pPr>
        <w:rPr>
          <w:rFonts w:ascii="Tahoma" w:hAnsi="Tahoma" w:cs="Tahoma"/>
          <w:sz w:val="24"/>
          <w:szCs w:val="24"/>
        </w:rPr>
      </w:pPr>
    </w:p>
    <w:p w:rsidR="00054C01" w:rsidRDefault="00054C01" w:rsidP="00054C01">
      <w:pPr>
        <w:jc w:val="center"/>
        <w:rPr>
          <w:rFonts w:ascii="Tahoma" w:hAnsi="Tahoma" w:cs="Tahoma"/>
          <w:sz w:val="24"/>
          <w:szCs w:val="24"/>
        </w:rPr>
      </w:pPr>
      <w:r>
        <w:rPr>
          <w:noProof/>
        </w:rPr>
        <w:lastRenderedPageBreak/>
        <w:drawing>
          <wp:inline distT="0" distB="0" distL="0" distR="0" wp14:anchorId="301278BE" wp14:editId="58BF7842">
            <wp:extent cx="6903866" cy="830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250" t="12099" r="32500" b="10370"/>
                    <a:stretch/>
                  </pic:blipFill>
                  <pic:spPr bwMode="auto">
                    <a:xfrm>
                      <a:off x="0" y="0"/>
                      <a:ext cx="6959584" cy="8372833"/>
                    </a:xfrm>
                    <a:prstGeom prst="rect">
                      <a:avLst/>
                    </a:prstGeom>
                    <a:ln>
                      <a:noFill/>
                    </a:ln>
                    <a:extLst>
                      <a:ext uri="{53640926-AAD7-44D8-BBD7-CCE9431645EC}">
                        <a14:shadowObscured xmlns:a14="http://schemas.microsoft.com/office/drawing/2010/main"/>
                      </a:ext>
                    </a:extLst>
                  </pic:spPr>
                </pic:pic>
              </a:graphicData>
            </a:graphic>
          </wp:inline>
        </w:drawing>
      </w:r>
    </w:p>
    <w:p w:rsidR="0074671D" w:rsidRDefault="0074671D" w:rsidP="00054C01">
      <w:pPr>
        <w:jc w:val="center"/>
        <w:rPr>
          <w:rFonts w:ascii="Tahoma" w:hAnsi="Tahoma" w:cs="Tahoma"/>
          <w:sz w:val="24"/>
          <w:szCs w:val="24"/>
        </w:rPr>
      </w:pPr>
    </w:p>
    <w:p w:rsidR="0074671D" w:rsidRDefault="0074671D" w:rsidP="00054C01">
      <w:pPr>
        <w:jc w:val="center"/>
        <w:rPr>
          <w:rFonts w:ascii="Tahoma" w:hAnsi="Tahoma" w:cs="Tahoma"/>
          <w:sz w:val="24"/>
          <w:szCs w:val="24"/>
        </w:rPr>
      </w:pPr>
    </w:p>
    <w:p w:rsidR="0074671D" w:rsidRDefault="0074671D" w:rsidP="0074671D">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1A5CABC8" wp14:editId="7036D745">
                <wp:simplePos x="0" y="0"/>
                <wp:positionH relativeFrom="column">
                  <wp:posOffset>1721567</wp:posOffset>
                </wp:positionH>
                <wp:positionV relativeFrom="paragraph">
                  <wp:posOffset>61292</wp:posOffset>
                </wp:positionV>
                <wp:extent cx="3381375" cy="3803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81375" cy="380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4671D" w:rsidRDefault="0074671D" w:rsidP="0074671D">
                            <w:pPr>
                              <w:pStyle w:val="Heading2"/>
                              <w:widowControl w:val="0"/>
                              <w:jc w:val="center"/>
                            </w:pPr>
                            <w:r>
                              <w:rPr>
                                <w14:ligatures w14:val="none"/>
                              </w:rPr>
                              <w:t>District 24— Grading Policy</w:t>
                            </w:r>
                          </w:p>
                        </w:txbxContent>
                      </wps:txbx>
                      <wps:bodyPr rot="0" vert="horz" wrap="square" lIns="274320" tIns="18288" rIns="2743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CABC8" id="_x0000_t202" coordsize="21600,21600" o:spt="202" path="m,l,21600r21600,l21600,xe">
                <v:stroke joinstyle="miter"/>
                <v:path gradientshapeok="t" o:connecttype="rect"/>
              </v:shapetype>
              <v:shape id="Text Box 3" o:spid="_x0000_s1026" type="#_x0000_t202" style="position:absolute;margin-left:135.55pt;margin-top:4.85pt;width:266.25pt;height:29.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" filled="f" stroked="f" strokecolor="black [0]" strokeweight="0" insetpen="t">
                <o:lock v:ext="edit" shapetype="t"/>
                <v:textbox inset="21.6pt,1.44pt,21.6pt,1.44pt">
                  <w:txbxContent>
                    <w:p w:rsidR="0074671D" w:rsidRDefault="0074671D" w:rsidP="0074671D">
                      <w:pPr>
                        <w:pStyle w:val="Heading2"/>
                        <w:widowControl w:val="0"/>
                        <w:jc w:val="center"/>
                      </w:pPr>
                      <w:r>
                        <w:rPr>
                          <w14:ligatures w14:val="none"/>
                        </w:rPr>
                        <w:t>District 24— Grading Policy</w:t>
                      </w:r>
                    </w:p>
                  </w:txbxContent>
                </v:textbox>
              </v:shape>
            </w:pict>
          </mc:Fallback>
        </mc:AlternateContent>
      </w:r>
    </w:p>
    <w:p w:rsidR="0074671D" w:rsidRDefault="0074671D" w:rsidP="0074671D">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02ED5414" wp14:editId="65BF26DB">
                <wp:simplePos x="0" y="0"/>
                <wp:positionH relativeFrom="column">
                  <wp:posOffset>922020</wp:posOffset>
                </wp:positionH>
                <wp:positionV relativeFrom="paragraph">
                  <wp:posOffset>993140</wp:posOffset>
                </wp:positionV>
                <wp:extent cx="6067425" cy="4021455"/>
                <wp:effectExtent l="0" t="254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67425" cy="40214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69EE" id="Rectangle 4" o:spid="_x0000_s1026" style="position:absolute;margin-left:72.6pt;margin-top:78.2pt;width:477.75pt;height:316.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" filled="f" stroked="f" insetpen="t">
                <v:shadow color="#c5d1d7"/>
                <o:lock v:ext="edit" shapetype="t"/>
                <v:textbox inset="0,0,0,0"/>
              </v:rect>
            </w:pict>
          </mc:Fallback>
        </mc:AlternateContent>
      </w:r>
    </w:p>
    <w:tbl>
      <w:tblPr>
        <w:tblW w:w="9417" w:type="dxa"/>
        <w:jc w:val="center"/>
        <w:tblCellMar>
          <w:left w:w="0" w:type="dxa"/>
          <w:right w:w="0" w:type="dxa"/>
        </w:tblCellMar>
        <w:tblLook w:val="04A0" w:firstRow="1" w:lastRow="0" w:firstColumn="1" w:lastColumn="0" w:noHBand="0" w:noVBand="1"/>
      </w:tblPr>
      <w:tblGrid>
        <w:gridCol w:w="726"/>
        <w:gridCol w:w="1242"/>
        <w:gridCol w:w="2378"/>
        <w:gridCol w:w="1258"/>
        <w:gridCol w:w="1080"/>
        <w:gridCol w:w="933"/>
        <w:gridCol w:w="1800"/>
      </w:tblGrid>
      <w:tr w:rsidR="0074671D" w:rsidTr="003C2E32">
        <w:trPr>
          <w:trHeight w:val="356"/>
          <w:jc w:val="center"/>
        </w:trPr>
        <w:tc>
          <w:tcPr>
            <w:tcW w:w="726" w:type="dxa"/>
            <w:tcBorders>
              <w:top w:val="single" w:sz="6"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 Level</w:t>
            </w:r>
          </w:p>
        </w:tc>
        <w:tc>
          <w:tcPr>
            <w:tcW w:w="1242" w:type="dxa"/>
            <w:tcBorders>
              <w:top w:val="single" w:sz="6"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Domain</w:t>
            </w:r>
          </w:p>
        </w:tc>
        <w:tc>
          <w:tcPr>
            <w:tcW w:w="2378" w:type="dxa"/>
            <w:tcBorders>
              <w:top w:val="single" w:sz="6"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Description</w:t>
            </w:r>
          </w:p>
        </w:tc>
        <w:tc>
          <w:tcPr>
            <w:tcW w:w="1258" w:type="dxa"/>
            <w:tcBorders>
              <w:top w:val="single" w:sz="6"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Pass or Fail</w:t>
            </w:r>
          </w:p>
        </w:tc>
        <w:tc>
          <w:tcPr>
            <w:tcW w:w="3813" w:type="dxa"/>
            <w:gridSpan w:val="3"/>
            <w:tcBorders>
              <w:top w:val="single" w:sz="6" w:space="0" w:color="000000"/>
              <w:left w:val="single" w:sz="12" w:space="0" w:color="000000"/>
              <w:bottom w:val="single" w:sz="8" w:space="0" w:color="000000"/>
              <w:right w:val="single" w:sz="12" w:space="0" w:color="000000"/>
            </w:tcBorders>
            <w:shd w:val="clear" w:color="auto" w:fill="C6D9F1"/>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Report Card Equivalents</w:t>
            </w:r>
          </w:p>
        </w:tc>
      </w:tr>
      <w:tr w:rsidR="0074671D" w:rsidTr="003C2E32">
        <w:trPr>
          <w:trHeight w:val="576"/>
          <w:jc w:val="center"/>
        </w:trPr>
        <w:tc>
          <w:tcPr>
            <w:tcW w:w="5604" w:type="dxa"/>
            <w:gridSpan w:val="4"/>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 </w:t>
            </w:r>
          </w:p>
        </w:tc>
        <w:tc>
          <w:tcPr>
            <w:tcW w:w="2013" w:type="dxa"/>
            <w:gridSpan w:val="2"/>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 </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jc w:val="center"/>
              <w:rPr>
                <w:rFonts w:ascii="Georgia" w:hAnsi="Georgia"/>
                <w:color w:val="000000"/>
                <w:kern w:val="28"/>
                <w:sz w:val="16"/>
                <w:szCs w:val="16"/>
                <w14:cntxtAlts/>
              </w:rPr>
            </w:pPr>
            <w:r>
              <w:rPr>
                <w:sz w:val="16"/>
                <w:szCs w:val="16"/>
              </w:rPr>
              <w:t> </w:t>
            </w:r>
          </w:p>
          <w:p w:rsidR="0074671D" w:rsidRDefault="0074671D" w:rsidP="003C2E32">
            <w:pPr>
              <w:widowControl w:val="0"/>
              <w:spacing w:after="0"/>
              <w:jc w:val="center"/>
              <w:rPr>
                <w:sz w:val="16"/>
                <w:szCs w:val="16"/>
              </w:rPr>
            </w:pPr>
            <w:r>
              <w:rPr>
                <w:sz w:val="16"/>
                <w:szCs w:val="16"/>
              </w:rPr>
              <w:t>Grades 3-8 Only</w:t>
            </w:r>
          </w:p>
          <w:p w:rsidR="0074671D" w:rsidRDefault="0074671D" w:rsidP="003C2E32">
            <w:pPr>
              <w:widowControl w:val="0"/>
              <w:spacing w:after="0" w:line="285" w:lineRule="auto"/>
              <w:jc w:val="center"/>
              <w:rPr>
                <w:rFonts w:ascii="Georgia" w:hAnsi="Georgia"/>
                <w:color w:val="000000"/>
                <w:kern w:val="28"/>
                <w14:cntxtAlts/>
              </w:rPr>
            </w:pPr>
            <w:r>
              <w:t> </w:t>
            </w:r>
          </w:p>
        </w:tc>
      </w:tr>
      <w:tr w:rsidR="0074671D" w:rsidTr="003C2E32">
        <w:trPr>
          <w:trHeight w:val="424"/>
          <w:jc w:val="center"/>
        </w:trPr>
        <w:tc>
          <w:tcPr>
            <w:tcW w:w="7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4</w:t>
            </w:r>
          </w:p>
        </w:tc>
        <w:tc>
          <w:tcPr>
            <w:tcW w:w="124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Exceeds</w:t>
            </w:r>
          </w:p>
        </w:tc>
        <w:tc>
          <w:tcPr>
            <w:tcW w:w="23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Exceeds means that a student, not only meets grade level standards but, consistently demonstrates progress towards meeting the next grade standards</w:t>
            </w:r>
          </w:p>
        </w:tc>
        <w:tc>
          <w:tcPr>
            <w:tcW w:w="1258" w:type="dxa"/>
            <w:vMerge w:val="restart"/>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Pass</w:t>
            </w: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E+</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A+</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98+</w:t>
            </w:r>
          </w:p>
        </w:tc>
      </w:tr>
      <w:tr w:rsidR="0074671D" w:rsidTr="003C2E32">
        <w:trPr>
          <w:trHeight w:val="4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E</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A</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95-97</w:t>
            </w:r>
          </w:p>
        </w:tc>
      </w:tr>
      <w:tr w:rsidR="0074671D" w:rsidTr="003C2E32">
        <w:trPr>
          <w:trHeight w:val="42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E-</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A-</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93-94</w:t>
            </w:r>
          </w:p>
        </w:tc>
      </w:tr>
      <w:tr w:rsidR="0074671D" w:rsidTr="003C2E32">
        <w:trPr>
          <w:trHeight w:val="339"/>
          <w:jc w:val="center"/>
        </w:trPr>
        <w:tc>
          <w:tcPr>
            <w:tcW w:w="7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3</w:t>
            </w:r>
          </w:p>
        </w:tc>
        <w:tc>
          <w:tcPr>
            <w:tcW w:w="124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Meets</w:t>
            </w:r>
          </w:p>
        </w:tc>
        <w:tc>
          <w:tcPr>
            <w:tcW w:w="23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Meets means that a student consistently performs at grade level standards</w:t>
            </w:r>
          </w:p>
        </w:tc>
        <w:tc>
          <w:tcPr>
            <w:tcW w:w="1258" w:type="dxa"/>
            <w:vMerge w:val="restart"/>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rsidR="0074671D" w:rsidRDefault="0074671D" w:rsidP="003C2E32">
            <w:pPr>
              <w:widowControl w:val="0"/>
              <w:tabs>
                <w:tab w:val="left" w:pos="-31680"/>
              </w:tabs>
              <w:spacing w:after="0" w:line="285" w:lineRule="auto"/>
              <w:jc w:val="center"/>
              <w:rPr>
                <w:rFonts w:ascii="Georgia" w:hAnsi="Georgia"/>
                <w:color w:val="000000"/>
                <w:kern w:val="28"/>
                <w14:cntxtAlts/>
              </w:rPr>
            </w:pPr>
            <w:r>
              <w:rPr>
                <w:sz w:val="16"/>
                <w:szCs w:val="16"/>
              </w:rPr>
              <w:t>Pass</w:t>
            </w: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G+</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B+</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88-92</w:t>
            </w:r>
          </w:p>
        </w:tc>
      </w:tr>
      <w:tr w:rsidR="0074671D" w:rsidTr="003C2E32">
        <w:trPr>
          <w:trHeight w:val="33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G</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B</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85-87</w:t>
            </w:r>
          </w:p>
        </w:tc>
      </w:tr>
      <w:tr w:rsidR="0074671D" w:rsidTr="003C2E32">
        <w:trPr>
          <w:trHeight w:val="33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G-</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B-</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83-84</w:t>
            </w:r>
          </w:p>
        </w:tc>
      </w:tr>
      <w:tr w:rsidR="0074671D" w:rsidTr="003C2E32">
        <w:trPr>
          <w:trHeight w:val="33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S+</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C+</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78-82</w:t>
            </w:r>
          </w:p>
        </w:tc>
      </w:tr>
      <w:tr w:rsidR="0074671D" w:rsidTr="003C2E32">
        <w:trPr>
          <w:trHeight w:val="33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S</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C</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75-77</w:t>
            </w:r>
          </w:p>
        </w:tc>
      </w:tr>
      <w:tr w:rsidR="0074671D" w:rsidTr="003C2E32">
        <w:trPr>
          <w:trHeight w:val="339"/>
          <w:jc w:val="center"/>
        </w:trPr>
        <w:tc>
          <w:tcPr>
            <w:tcW w:w="7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2</w:t>
            </w:r>
          </w:p>
        </w:tc>
        <w:tc>
          <w:tcPr>
            <w:tcW w:w="124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Approaches</w:t>
            </w:r>
          </w:p>
        </w:tc>
        <w:tc>
          <w:tcPr>
            <w:tcW w:w="23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Approaching means that a student inconsistently performs at grade level standards</w:t>
            </w:r>
          </w:p>
        </w:tc>
        <w:tc>
          <w:tcPr>
            <w:tcW w:w="1258" w:type="dxa"/>
            <w:vMerge w:val="restart"/>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Pass</w:t>
            </w: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S-</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C-</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73-74</w:t>
            </w:r>
          </w:p>
        </w:tc>
      </w:tr>
      <w:tr w:rsidR="0074671D" w:rsidTr="003C2E32">
        <w:trPr>
          <w:trHeight w:val="33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N+</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D+</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68-72</w:t>
            </w:r>
          </w:p>
        </w:tc>
      </w:tr>
      <w:tr w:rsidR="0074671D" w:rsidTr="003C2E32">
        <w:trPr>
          <w:trHeight w:val="33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N</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D</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65-67</w:t>
            </w:r>
          </w:p>
        </w:tc>
      </w:tr>
      <w:tr w:rsidR="0074671D" w:rsidTr="003C2E32">
        <w:trPr>
          <w:trHeight w:val="593"/>
          <w:jc w:val="center"/>
        </w:trPr>
        <w:tc>
          <w:tcPr>
            <w:tcW w:w="7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1</w:t>
            </w:r>
          </w:p>
        </w:tc>
        <w:tc>
          <w:tcPr>
            <w:tcW w:w="124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Below</w:t>
            </w:r>
          </w:p>
        </w:tc>
        <w:tc>
          <w:tcPr>
            <w:tcW w:w="23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Below means that a student consistently performs one or more levels below grade standards</w:t>
            </w:r>
          </w:p>
        </w:tc>
        <w:tc>
          <w:tcPr>
            <w:tcW w:w="1258" w:type="dxa"/>
            <w:vMerge w:val="restart"/>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Fail</w:t>
            </w:r>
          </w:p>
        </w:tc>
        <w:tc>
          <w:tcPr>
            <w:tcW w:w="1080"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N-</w:t>
            </w:r>
          </w:p>
        </w:tc>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D-</w:t>
            </w:r>
          </w:p>
        </w:tc>
        <w:tc>
          <w:tcPr>
            <w:tcW w:w="1800" w:type="dxa"/>
            <w:tcBorders>
              <w:top w:val="single" w:sz="8" w:space="0" w:color="000000"/>
              <w:left w:val="single" w:sz="8" w:space="0" w:color="000000"/>
              <w:bottom w:val="single" w:sz="8"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60-64</w:t>
            </w:r>
          </w:p>
        </w:tc>
      </w:tr>
      <w:tr w:rsidR="0074671D" w:rsidTr="003C2E32">
        <w:trPr>
          <w:trHeight w:val="40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74671D" w:rsidRDefault="0074671D" w:rsidP="003C2E32">
            <w:pPr>
              <w:spacing w:after="0" w:line="240" w:lineRule="auto"/>
              <w:rPr>
                <w:rFonts w:ascii="Georgia" w:hAnsi="Georgia"/>
                <w:color w:val="000000"/>
                <w:kern w:val="28"/>
                <w14:cntxtAlts/>
              </w:rPr>
            </w:pPr>
          </w:p>
        </w:tc>
        <w:tc>
          <w:tcPr>
            <w:tcW w:w="108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U</w:t>
            </w:r>
          </w:p>
        </w:tc>
        <w:tc>
          <w:tcPr>
            <w:tcW w:w="933"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F</w:t>
            </w:r>
          </w:p>
        </w:tc>
        <w:tc>
          <w:tcPr>
            <w:tcW w:w="1800" w:type="dxa"/>
            <w:tcBorders>
              <w:top w:val="single" w:sz="8" w:space="0" w:color="000000"/>
              <w:left w:val="single" w:sz="8" w:space="0" w:color="000000"/>
              <w:bottom w:val="single" w:sz="12" w:space="0" w:color="000000"/>
              <w:right w:val="single" w:sz="12" w:space="0" w:color="000000"/>
            </w:tcBorders>
            <w:shd w:val="clear" w:color="auto" w:fill="92D050"/>
            <w:tcMar>
              <w:top w:w="0" w:type="dxa"/>
              <w:left w:w="108" w:type="dxa"/>
              <w:bottom w:w="0" w:type="dxa"/>
              <w:right w:w="108" w:type="dxa"/>
            </w:tcMar>
            <w:vAlign w:val="center"/>
            <w:hideMark/>
          </w:tcPr>
          <w:p w:rsidR="0074671D" w:rsidRDefault="0074671D" w:rsidP="003C2E32">
            <w:pPr>
              <w:widowControl w:val="0"/>
              <w:spacing w:after="0" w:line="285" w:lineRule="auto"/>
              <w:jc w:val="center"/>
              <w:rPr>
                <w:rFonts w:ascii="Georgia" w:hAnsi="Georgia"/>
                <w:color w:val="000000"/>
                <w:kern w:val="28"/>
                <w14:cntxtAlts/>
              </w:rPr>
            </w:pPr>
            <w:r>
              <w:rPr>
                <w:sz w:val="16"/>
                <w:szCs w:val="16"/>
              </w:rPr>
              <w:t>0-59</w:t>
            </w:r>
          </w:p>
        </w:tc>
      </w:tr>
    </w:tbl>
    <w:p w:rsidR="0074671D" w:rsidRDefault="0074671D" w:rsidP="0074671D">
      <w:pPr>
        <w:tabs>
          <w:tab w:val="left" w:pos="5547"/>
        </w:tabs>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7142841D" wp14:editId="1FD3343D">
                <wp:simplePos x="0" y="0"/>
                <wp:positionH relativeFrom="column">
                  <wp:posOffset>170953</wp:posOffset>
                </wp:positionH>
                <wp:positionV relativeFrom="paragraph">
                  <wp:posOffset>161456</wp:posOffset>
                </wp:positionV>
                <wp:extent cx="6559826" cy="508884"/>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59826" cy="50888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74671D" w:rsidRDefault="0074671D" w:rsidP="0074671D">
                            <w:pPr>
                              <w:pStyle w:val="Quote"/>
                              <w:widowControl w:val="0"/>
                              <w:rPr>
                                <w:sz w:val="22"/>
                                <w:szCs w:val="22"/>
                                <w14:ligatures w14:val="none"/>
                              </w:rPr>
                            </w:pPr>
                            <w:r w:rsidRPr="00A94695">
                              <w:rPr>
                                <w:sz w:val="22"/>
                                <w:szCs w:val="22"/>
                                <w14:ligatures w14:val="none"/>
                              </w:rPr>
                              <w:t xml:space="preserve">“In the best classrooms, grades are only one of many types of feedback provided to students.”  </w:t>
                            </w:r>
                          </w:p>
                          <w:p w:rsidR="0074671D" w:rsidRPr="00A94695" w:rsidRDefault="0074671D" w:rsidP="0074671D">
                            <w:pPr>
                              <w:pStyle w:val="Quote"/>
                              <w:widowControl w:val="0"/>
                              <w:jc w:val="right"/>
                              <w:rPr>
                                <w:sz w:val="22"/>
                                <w:szCs w:val="22"/>
                                <w14:ligatures w14:val="none"/>
                              </w:rPr>
                            </w:pPr>
                            <w:r w:rsidRPr="00A94695">
                              <w:rPr>
                                <w:sz w:val="22"/>
                                <w:szCs w:val="22"/>
                                <w14:ligatures w14:val="none"/>
                              </w:rPr>
                              <w:t>- Douglas B. Reeves</w:t>
                            </w:r>
                          </w:p>
                        </w:txbxContent>
                      </wps:txbx>
                      <wps:bodyPr rot="0" vert="horz" wrap="square" lIns="274320" tIns="36195" rIns="27432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841D" id="Text Box 5" o:spid="_x0000_s1027" type="#_x0000_t202" style="position:absolute;margin-left:13.45pt;margin-top:12.7pt;width:516.5pt;height:4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" stroked="f" strokecolor="black [0]" strokeweight="0" insetpen="t">
                <v:shadow color="#c5d1d7"/>
                <o:lock v:ext="edit" shapetype="t"/>
                <v:textbox inset="21.6pt,2.85pt,21.6pt,2.85pt">
                  <w:txbxContent>
                    <w:p w:rsidR="0074671D" w:rsidRDefault="0074671D" w:rsidP="0074671D">
                      <w:pPr>
                        <w:pStyle w:val="Quote"/>
                        <w:widowControl w:val="0"/>
                        <w:rPr>
                          <w:sz w:val="22"/>
                          <w:szCs w:val="22"/>
                          <w14:ligatures w14:val="none"/>
                        </w:rPr>
                      </w:pPr>
                      <w:r w:rsidRPr="00A94695">
                        <w:rPr>
                          <w:sz w:val="22"/>
                          <w:szCs w:val="22"/>
                          <w14:ligatures w14:val="none"/>
                        </w:rPr>
                        <w:t xml:space="preserve">“In the best classrooms, grades are only one of many types of feedback provided to students.”  </w:t>
                      </w:r>
                    </w:p>
                    <w:p w:rsidR="0074671D" w:rsidRPr="00A94695" w:rsidRDefault="0074671D" w:rsidP="0074671D">
                      <w:pPr>
                        <w:pStyle w:val="Quote"/>
                        <w:widowControl w:val="0"/>
                        <w:jc w:val="right"/>
                        <w:rPr>
                          <w:sz w:val="22"/>
                          <w:szCs w:val="22"/>
                          <w14:ligatures w14:val="none"/>
                        </w:rPr>
                      </w:pPr>
                      <w:r w:rsidRPr="00A94695">
                        <w:rPr>
                          <w:sz w:val="22"/>
                          <w:szCs w:val="22"/>
                          <w14:ligatures w14:val="none"/>
                        </w:rPr>
                        <w:t>- Douglas B. Reeves</w:t>
                      </w:r>
                    </w:p>
                  </w:txbxContent>
                </v:textbox>
              </v:shape>
            </w:pict>
          </mc:Fallback>
        </mc:AlternateContent>
      </w:r>
    </w:p>
    <w:p w:rsidR="0074671D" w:rsidRDefault="0074671D" w:rsidP="0074671D">
      <w:pPr>
        <w:tabs>
          <w:tab w:val="left" w:pos="5547"/>
        </w:tabs>
        <w:jc w:val="right"/>
      </w:pPr>
    </w:p>
    <w:p w:rsidR="0074671D" w:rsidRDefault="0074671D" w:rsidP="0074671D">
      <w:pPr>
        <w:tabs>
          <w:tab w:val="left" w:pos="5547"/>
        </w:tabs>
        <w:jc w:val="both"/>
      </w:pPr>
      <w:r>
        <w:rPr>
          <w:b/>
        </w:rPr>
        <w:br/>
      </w:r>
      <w:r w:rsidRPr="00A94695">
        <w:rPr>
          <w:b/>
        </w:rPr>
        <w:t>Level 4: Meets Standards with Distinction</w:t>
      </w:r>
      <w:r>
        <w:t xml:space="preserve"> – The student </w:t>
      </w:r>
      <w:r w:rsidRPr="00A94695">
        <w:rPr>
          <w:b/>
        </w:rPr>
        <w:t>always</w:t>
      </w:r>
      <w:r>
        <w:t xml:space="preserve"> demonstrates superior mastery of the content, concepts and skills for the learning standards and key ideas being assessed.  For numerically graded tests, the student scores 92% or above.  </w:t>
      </w:r>
    </w:p>
    <w:p w:rsidR="0074671D" w:rsidRPr="005B40C1" w:rsidRDefault="0074671D" w:rsidP="0074671D">
      <w:pPr>
        <w:tabs>
          <w:tab w:val="left" w:pos="5547"/>
        </w:tabs>
        <w:jc w:val="both"/>
      </w:pPr>
      <w:r w:rsidRPr="00A94695">
        <w:rPr>
          <w:b/>
        </w:rPr>
        <w:t xml:space="preserve">Level </w:t>
      </w:r>
      <w:r>
        <w:rPr>
          <w:b/>
        </w:rPr>
        <w:t>3</w:t>
      </w:r>
      <w:r w:rsidRPr="00A94695">
        <w:rPr>
          <w:b/>
        </w:rPr>
        <w:t xml:space="preserve">: Meets </w:t>
      </w:r>
      <w:r>
        <w:rPr>
          <w:b/>
        </w:rPr>
        <w:t>Grade Level Proficiency</w:t>
      </w:r>
      <w:r>
        <w:t xml:space="preserve"> – The student </w:t>
      </w:r>
      <w:r>
        <w:rPr>
          <w:b/>
        </w:rPr>
        <w:t>usually</w:t>
      </w:r>
      <w:r>
        <w:t xml:space="preserve"> demonstrates mastery of the content, concepts and skills for the learning standards and key ideas being assessed.  For numerically graded tests, the student scores between 75% and 91%.  </w:t>
      </w:r>
    </w:p>
    <w:p w:rsidR="0074671D" w:rsidRPr="005B40C1" w:rsidRDefault="0074671D" w:rsidP="0074671D">
      <w:pPr>
        <w:tabs>
          <w:tab w:val="left" w:pos="5547"/>
        </w:tabs>
        <w:jc w:val="both"/>
      </w:pPr>
      <w:r w:rsidRPr="00A94695">
        <w:rPr>
          <w:b/>
        </w:rPr>
        <w:t xml:space="preserve">Level </w:t>
      </w:r>
      <w:r>
        <w:rPr>
          <w:b/>
        </w:rPr>
        <w:t>2: Approaching Standards</w:t>
      </w:r>
      <w:r>
        <w:t xml:space="preserve"> – The student </w:t>
      </w:r>
      <w:r>
        <w:rPr>
          <w:b/>
        </w:rPr>
        <w:t>sometimes</w:t>
      </w:r>
      <w:r>
        <w:t xml:space="preserve"> demonstrates mastery of the content, concepts and skills for the learning standards and key ideas being assessed.  For numerically graded tests, the student scores between 65% and 74%.  </w:t>
      </w:r>
    </w:p>
    <w:p w:rsidR="0074671D" w:rsidRPr="005B40C1" w:rsidRDefault="0074671D" w:rsidP="0074671D">
      <w:pPr>
        <w:tabs>
          <w:tab w:val="left" w:pos="5547"/>
        </w:tabs>
        <w:jc w:val="both"/>
      </w:pPr>
      <w:r w:rsidRPr="00A94695">
        <w:rPr>
          <w:b/>
        </w:rPr>
        <w:t xml:space="preserve">Level 4: </w:t>
      </w:r>
      <w:r>
        <w:rPr>
          <w:b/>
        </w:rPr>
        <w:t>Below Standards</w:t>
      </w:r>
      <w:r>
        <w:t xml:space="preserve"> – The student </w:t>
      </w:r>
      <w:r>
        <w:rPr>
          <w:b/>
        </w:rPr>
        <w:t>rarely</w:t>
      </w:r>
      <w:r>
        <w:t xml:space="preserve"> demonstrates superior mastery of the content, concepts and skills for the learning standards and key ideas being assessed.  For numerically graded tests, the student scores below 65%.  </w:t>
      </w:r>
    </w:p>
    <w:p w:rsidR="0074671D" w:rsidRDefault="0074671D" w:rsidP="0074671D">
      <w:pPr>
        <w:tabs>
          <w:tab w:val="left" w:pos="5547"/>
        </w:tabs>
        <w:jc w:val="both"/>
      </w:pPr>
      <w:r w:rsidRPr="00A94695">
        <w:rPr>
          <w:b/>
        </w:rPr>
        <w:t xml:space="preserve">Pass </w:t>
      </w:r>
      <w:r>
        <w:t xml:space="preserve">– The student demonstrates understanding of the concepts and skills taught in a subject area and shows mastery through multiple measures of performance.  </w:t>
      </w:r>
    </w:p>
    <w:p w:rsidR="0074671D" w:rsidRPr="0074671D" w:rsidRDefault="0074671D" w:rsidP="0074671D">
      <w:pPr>
        <w:tabs>
          <w:tab w:val="left" w:pos="5547"/>
        </w:tabs>
        <w:jc w:val="both"/>
      </w:pPr>
      <w:r w:rsidRPr="00A94695">
        <w:rPr>
          <w:b/>
        </w:rPr>
        <w:t>Fail</w:t>
      </w:r>
      <w:r>
        <w:t xml:space="preserve"> - The student does not demonstrate understanding of the concepts and skills taught in a subject area.  The student does not show mastery even after multiple opportunities given to measure performance.  </w:t>
      </w:r>
      <w:bookmarkStart w:id="0" w:name="_GoBack"/>
      <w:bookmarkEnd w:id="0"/>
    </w:p>
    <w:sectPr w:rsidR="0074671D" w:rsidRPr="0074671D" w:rsidSect="00054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2830"/>
    <w:multiLevelType w:val="hybridMultilevel"/>
    <w:tmpl w:val="F9D0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1"/>
    <w:rsid w:val="00054C01"/>
    <w:rsid w:val="0074671D"/>
    <w:rsid w:val="00E6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B5A1A-BAEA-4838-B9E2-D73A2CE8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01"/>
    <w:pPr>
      <w:spacing w:after="200" w:line="276" w:lineRule="auto"/>
    </w:pPr>
  </w:style>
  <w:style w:type="paragraph" w:styleId="Heading2">
    <w:name w:val="heading 2"/>
    <w:link w:val="Heading2Char"/>
    <w:uiPriority w:val="9"/>
    <w:qFormat/>
    <w:rsid w:val="0074671D"/>
    <w:pPr>
      <w:spacing w:before="200" w:after="120" w:line="264" w:lineRule="auto"/>
      <w:outlineLvl w:val="1"/>
    </w:pPr>
    <w:rPr>
      <w:rFonts w:ascii="Georgia" w:eastAsia="Times New Roman" w:hAnsi="Georgia" w:cs="Times New Roman"/>
      <w:caps/>
      <w:color w:val="7E9C9D"/>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01"/>
    <w:pPr>
      <w:ind w:left="720"/>
      <w:contextualSpacing/>
    </w:pPr>
  </w:style>
  <w:style w:type="character" w:styleId="Hyperlink">
    <w:name w:val="Hyperlink"/>
    <w:basedOn w:val="DefaultParagraphFont"/>
    <w:uiPriority w:val="99"/>
    <w:unhideWhenUsed/>
    <w:rsid w:val="00054C01"/>
    <w:rPr>
      <w:color w:val="0563C1" w:themeColor="hyperlink"/>
      <w:u w:val="single"/>
    </w:rPr>
  </w:style>
  <w:style w:type="character" w:customStyle="1" w:styleId="Heading2Char">
    <w:name w:val="Heading 2 Char"/>
    <w:basedOn w:val="DefaultParagraphFont"/>
    <w:link w:val="Heading2"/>
    <w:uiPriority w:val="9"/>
    <w:rsid w:val="0074671D"/>
    <w:rPr>
      <w:rFonts w:ascii="Georgia" w:eastAsia="Times New Roman" w:hAnsi="Georgia" w:cs="Times New Roman"/>
      <w:caps/>
      <w:color w:val="7E9C9D"/>
      <w:kern w:val="28"/>
      <w:sz w:val="28"/>
      <w:szCs w:val="28"/>
      <w14:ligatures w14:val="standard"/>
      <w14:cntxtAlts/>
    </w:rPr>
  </w:style>
  <w:style w:type="paragraph" w:styleId="Quote">
    <w:name w:val="Quote"/>
    <w:basedOn w:val="Normal"/>
    <w:link w:val="QuoteChar"/>
    <w:uiPriority w:val="29"/>
    <w:qFormat/>
    <w:rsid w:val="0074671D"/>
    <w:pPr>
      <w:spacing w:after="0" w:line="240" w:lineRule="auto"/>
    </w:pPr>
    <w:rPr>
      <w:rFonts w:ascii="Georgia" w:eastAsia="Times New Roman" w:hAnsi="Georgia" w:cs="Times New Roman"/>
      <w:i/>
      <w:iCs/>
      <w:color w:val="000000"/>
      <w:kern w:val="28"/>
      <w:sz w:val="28"/>
      <w:szCs w:val="28"/>
      <w14:ligatures w14:val="standard"/>
      <w14:cntxtAlts/>
    </w:rPr>
  </w:style>
  <w:style w:type="character" w:customStyle="1" w:styleId="QuoteChar">
    <w:name w:val="Quote Char"/>
    <w:basedOn w:val="DefaultParagraphFont"/>
    <w:link w:val="Quote"/>
    <w:uiPriority w:val="29"/>
    <w:rsid w:val="0074671D"/>
    <w:rPr>
      <w:rFonts w:ascii="Georgia" w:eastAsia="Times New Roman" w:hAnsi="Georgia" w:cs="Times New Roman"/>
      <w:i/>
      <w:i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746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ved=0ahUKEwjj4PulqOvWAhXm1IMKHYNLDdYQjRwIBw&amp;url=https://www.wylieisd.net/Page/9915&amp;psig=AOvVaw0nULXCf_KosqKb2JWca2y3&amp;ust=15079055608091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Department of Education</dc:creator>
  <cp:keywords/>
  <dc:description/>
  <cp:lastModifiedBy>New York City Department of Education</cp:lastModifiedBy>
  <cp:revision>1</cp:revision>
  <cp:lastPrinted>2017-10-12T14:48:00Z</cp:lastPrinted>
  <dcterms:created xsi:type="dcterms:W3CDTF">2017-10-12T14:36:00Z</dcterms:created>
  <dcterms:modified xsi:type="dcterms:W3CDTF">2017-10-12T14:48:00Z</dcterms:modified>
</cp:coreProperties>
</file>