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704D" w:rsidRDefault="00F47658">
      <w:pPr>
        <w:spacing w:after="0" w:line="240" w:lineRule="auto"/>
      </w:pPr>
      <w:bookmarkStart w:id="0" w:name="_GoBack"/>
      <w:bookmarkEnd w:id="0"/>
      <w:r>
        <w:rPr>
          <w:noProof/>
        </w:rPr>
        <w:drawing>
          <wp:inline distT="0" distB="0" distL="114300" distR="114300">
            <wp:extent cx="630555" cy="6273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30555" cy="627380"/>
                    </a:xfrm>
                    <a:prstGeom prst="rect">
                      <a:avLst/>
                    </a:prstGeom>
                    <a:ln/>
                  </pic:spPr>
                </pic:pic>
              </a:graphicData>
            </a:graphic>
          </wp:inline>
        </w:drawing>
      </w:r>
      <w:r>
        <w:rPr>
          <w:rFonts w:ascii="Arial Black" w:eastAsia="Arial Black" w:hAnsi="Arial Black" w:cs="Arial Black"/>
          <w:sz w:val="20"/>
          <w:szCs w:val="20"/>
        </w:rPr>
        <w:t xml:space="preserve">P.S. 24 </w:t>
      </w:r>
      <w:proofErr w:type="gramStart"/>
      <w:r>
        <w:rPr>
          <w:rFonts w:ascii="Arial Black" w:eastAsia="Arial Black" w:hAnsi="Arial Black" w:cs="Arial Black"/>
          <w:sz w:val="20"/>
          <w:szCs w:val="20"/>
        </w:rPr>
        <w:t>The</w:t>
      </w:r>
      <w:proofErr w:type="gram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Spuyten</w:t>
      </w:r>
      <w:proofErr w:type="spellEnd"/>
      <w:r>
        <w:rPr>
          <w:rFonts w:ascii="Arial Black" w:eastAsia="Arial Black" w:hAnsi="Arial Black" w:cs="Arial Black"/>
          <w:sz w:val="20"/>
          <w:szCs w:val="20"/>
        </w:rPr>
        <w:t xml:space="preserve"> Duyvil School</w:t>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t xml:space="preserve">          660 West 236</w:t>
      </w:r>
      <w:r>
        <w:rPr>
          <w:rFonts w:ascii="Arial Black" w:eastAsia="Arial Black" w:hAnsi="Arial Black" w:cs="Arial Black"/>
          <w:sz w:val="20"/>
          <w:szCs w:val="20"/>
          <w:vertAlign w:val="superscript"/>
        </w:rPr>
        <w:t>th</w:t>
      </w:r>
      <w:r>
        <w:rPr>
          <w:rFonts w:ascii="Arial Black" w:eastAsia="Arial Black" w:hAnsi="Arial Black" w:cs="Arial Black"/>
          <w:sz w:val="20"/>
          <w:szCs w:val="20"/>
        </w:rPr>
        <w:t xml:space="preserve"> Street                     </w:t>
      </w:r>
    </w:p>
    <w:p w:rsidR="0024704D" w:rsidRDefault="00F47658">
      <w:pPr>
        <w:spacing w:after="0" w:line="240" w:lineRule="auto"/>
      </w:pPr>
      <w:r>
        <w:rPr>
          <w:rFonts w:ascii="Arial Black" w:eastAsia="Arial Black" w:hAnsi="Arial Black" w:cs="Arial Black"/>
          <w:sz w:val="20"/>
          <w:szCs w:val="20"/>
        </w:rPr>
        <w:tab/>
        <w:t xml:space="preserve">    Steven Schwartz, I.A. Principal </w:t>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t xml:space="preserve">          Bronx, New York 10463            </w:t>
      </w:r>
    </w:p>
    <w:p w:rsidR="0024704D" w:rsidRDefault="00F47658">
      <w:pPr>
        <w:spacing w:after="0" w:line="240" w:lineRule="auto"/>
        <w:ind w:firstLine="720"/>
      </w:pPr>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Manuele</w:t>
      </w:r>
      <w:proofErr w:type="spellEnd"/>
      <w:r>
        <w:rPr>
          <w:rFonts w:ascii="Arial Black" w:eastAsia="Arial Black" w:hAnsi="Arial Black" w:cs="Arial Black"/>
          <w:sz w:val="20"/>
          <w:szCs w:val="20"/>
        </w:rPr>
        <w:t xml:space="preserve"> Verdi, Assistant Principal</w:t>
      </w:r>
      <w:r>
        <w:rPr>
          <w:rFonts w:ascii="Arial Black" w:eastAsia="Arial Black" w:hAnsi="Arial Black" w:cs="Arial Black"/>
          <w:sz w:val="20"/>
          <w:szCs w:val="20"/>
        </w:rPr>
        <w:tab/>
        <w:t xml:space="preserve"> </w:t>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t xml:space="preserve">          Telephone (718) 796-8845 </w:t>
      </w:r>
      <w:r>
        <w:rPr>
          <w:rFonts w:ascii="Arial Black" w:eastAsia="Arial Black" w:hAnsi="Arial Black" w:cs="Arial Black"/>
          <w:sz w:val="20"/>
          <w:szCs w:val="20"/>
        </w:rPr>
        <w:tab/>
        <w:t xml:space="preserve"> </w:t>
      </w:r>
      <w:r>
        <w:rPr>
          <w:rFonts w:ascii="Arial Black" w:eastAsia="Arial Black" w:hAnsi="Arial Black" w:cs="Arial Black"/>
          <w:sz w:val="20"/>
          <w:szCs w:val="20"/>
        </w:rPr>
        <w:tab/>
        <w:t xml:space="preserve">    </w:t>
      </w:r>
      <w:r>
        <w:rPr>
          <w:rFonts w:ascii="Arial Black" w:eastAsia="Arial Black" w:hAnsi="Arial Black" w:cs="Arial Black"/>
          <w:sz w:val="20"/>
          <w:szCs w:val="20"/>
        </w:rPr>
        <w:tab/>
        <w:t xml:space="preserve"> </w:t>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t xml:space="preserve">           </w:t>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t>Fax (718) 796-3320</w:t>
      </w:r>
    </w:p>
    <w:p w:rsidR="0024704D" w:rsidRDefault="00F47658">
      <w:pPr>
        <w:spacing w:after="0" w:line="240" w:lineRule="auto"/>
        <w:ind w:firstLine="720"/>
        <w:jc w:val="center"/>
      </w:pPr>
      <w:r>
        <w:rPr>
          <w:rFonts w:ascii="Arial Black" w:eastAsia="Arial Black" w:hAnsi="Arial Black" w:cs="Arial Black"/>
          <w:sz w:val="20"/>
          <w:szCs w:val="20"/>
        </w:rPr>
        <w:t xml:space="preserve">PS24school.org   </w:t>
      </w:r>
    </w:p>
    <w:p w:rsidR="002A1E67" w:rsidRDefault="002A1E67" w:rsidP="002A1E67">
      <w:pPr>
        <w:spacing w:line="240" w:lineRule="auto"/>
      </w:pPr>
    </w:p>
    <w:p w:rsidR="002A1E67" w:rsidRPr="00F47658" w:rsidRDefault="002A1E67" w:rsidP="002A1E67">
      <w:pPr>
        <w:spacing w:line="240" w:lineRule="auto"/>
        <w:rPr>
          <w:rFonts w:asciiTheme="majorHAnsi" w:hAnsiTheme="majorHAnsi"/>
          <w:sz w:val="24"/>
          <w:szCs w:val="24"/>
        </w:rPr>
      </w:pPr>
      <w:r w:rsidRPr="00F47658">
        <w:rPr>
          <w:rFonts w:asciiTheme="majorHAnsi" w:hAnsiTheme="majorHAnsi"/>
          <w:sz w:val="24"/>
          <w:szCs w:val="24"/>
        </w:rPr>
        <w:t>Distinguished Parents on 10x024,</w:t>
      </w:r>
    </w:p>
    <w:p w:rsidR="002A1E67" w:rsidRPr="00F47658" w:rsidRDefault="002A1E67" w:rsidP="002A1E67">
      <w:pPr>
        <w:spacing w:line="240" w:lineRule="auto"/>
        <w:rPr>
          <w:rFonts w:asciiTheme="majorHAnsi" w:hAnsiTheme="majorHAnsi"/>
          <w:sz w:val="24"/>
          <w:szCs w:val="24"/>
        </w:rPr>
      </w:pPr>
      <w:r w:rsidRPr="00F47658">
        <w:rPr>
          <w:rFonts w:asciiTheme="majorHAnsi" w:hAnsiTheme="majorHAnsi"/>
          <w:sz w:val="24"/>
          <w:szCs w:val="24"/>
        </w:rPr>
        <w:t xml:space="preserve"> </w:t>
      </w:r>
      <w:r w:rsidRPr="00F47658">
        <w:rPr>
          <w:rFonts w:asciiTheme="majorHAnsi" w:hAnsiTheme="majorHAnsi"/>
          <w:sz w:val="24"/>
          <w:szCs w:val="24"/>
        </w:rPr>
        <w:tab/>
        <w:t>On January 3</w:t>
      </w:r>
      <w:r w:rsidRPr="00F47658">
        <w:rPr>
          <w:rFonts w:asciiTheme="majorHAnsi" w:hAnsiTheme="majorHAnsi"/>
          <w:sz w:val="24"/>
          <w:szCs w:val="24"/>
          <w:vertAlign w:val="superscript"/>
        </w:rPr>
        <w:t>rd</w:t>
      </w:r>
      <w:r w:rsidRPr="00F47658">
        <w:rPr>
          <w:rFonts w:asciiTheme="majorHAnsi" w:hAnsiTheme="majorHAnsi"/>
          <w:sz w:val="24"/>
          <w:szCs w:val="24"/>
        </w:rPr>
        <w:t xml:space="preserve">, all staff was given the opportunity to contribute and voice their opinion on the School-Wide Grading Policy. </w:t>
      </w:r>
      <w:r w:rsidRPr="00F47658">
        <w:rPr>
          <w:rFonts w:asciiTheme="majorHAnsi" w:hAnsiTheme="majorHAnsi" w:cs="Arial"/>
          <w:sz w:val="24"/>
          <w:szCs w:val="24"/>
        </w:rPr>
        <w:t>Grades are evaluative instruments which measure students’ achievements, efforts, and extent of progress in their classes. The components of a grade should be academically oriented and reflect each student’s competency in the course content. Grades are not tools of discipline, nor shall they be based on the students’ attitudes or personalities. It is important for teachers to provide meaningful feedback to students regarding their personality development, behavioral cha</w:t>
      </w:r>
      <w:r w:rsidR="00F47658" w:rsidRPr="00F47658">
        <w:rPr>
          <w:rFonts w:asciiTheme="majorHAnsi" w:hAnsiTheme="majorHAnsi" w:cs="Arial"/>
          <w:sz w:val="24"/>
          <w:szCs w:val="24"/>
        </w:rPr>
        <w:t>racteristics, level of maturity</w:t>
      </w:r>
      <w:r w:rsidRPr="00F47658">
        <w:rPr>
          <w:rFonts w:asciiTheme="majorHAnsi" w:hAnsiTheme="majorHAnsi" w:cs="Arial"/>
          <w:sz w:val="24"/>
          <w:szCs w:val="24"/>
        </w:rPr>
        <w:t>, and c</w:t>
      </w:r>
      <w:r w:rsidR="00F47658" w:rsidRPr="00F47658">
        <w:rPr>
          <w:rFonts w:asciiTheme="majorHAnsi" w:hAnsiTheme="majorHAnsi" w:cs="Arial"/>
          <w:sz w:val="24"/>
          <w:szCs w:val="24"/>
        </w:rPr>
        <w:t>ommitment to responsibility.</w:t>
      </w:r>
      <w:r w:rsidRPr="00F47658">
        <w:rPr>
          <w:rFonts w:asciiTheme="majorHAnsi" w:hAnsiTheme="majorHAnsi" w:cs="Arial"/>
          <w:sz w:val="24"/>
          <w:szCs w:val="24"/>
        </w:rPr>
        <w:br/>
        <w:t> </w:t>
      </w:r>
      <w:r w:rsidRPr="00F47658">
        <w:rPr>
          <w:rFonts w:asciiTheme="majorHAnsi" w:hAnsiTheme="majorHAnsi" w:cs="Arial"/>
          <w:sz w:val="24"/>
          <w:szCs w:val="24"/>
        </w:rPr>
        <w:br/>
        <w:t>All of the following components shall contribute to the assessment of a student’s academic performance: Classroom examinations and quizzes; homework assignments; literacy tasks or portfolios; and classroom effort and participation. Attendance will be a factor in determining a student’s grade to the extent that poor attendance prevents the student from participating in class activities, completing homework assignments and projects, taki</w:t>
      </w:r>
      <w:r w:rsidR="00F47658" w:rsidRPr="00F47658">
        <w:rPr>
          <w:rFonts w:asciiTheme="majorHAnsi" w:hAnsiTheme="majorHAnsi" w:cs="Arial"/>
          <w:sz w:val="24"/>
          <w:szCs w:val="24"/>
        </w:rPr>
        <w:t xml:space="preserve">ng examinations and </w:t>
      </w:r>
      <w:proofErr w:type="spellStart"/>
      <w:r w:rsidR="00F47658" w:rsidRPr="00F47658">
        <w:rPr>
          <w:rFonts w:asciiTheme="majorHAnsi" w:hAnsiTheme="majorHAnsi" w:cs="Arial"/>
          <w:sz w:val="24"/>
          <w:szCs w:val="24"/>
        </w:rPr>
        <w:t>quizzes</w:t>
      </w:r>
      <w:proofErr w:type="gramStart"/>
      <w:r w:rsidR="00F47658" w:rsidRPr="00F47658">
        <w:rPr>
          <w:rFonts w:asciiTheme="majorHAnsi" w:hAnsiTheme="majorHAnsi" w:cs="Arial"/>
          <w:sz w:val="24"/>
          <w:szCs w:val="24"/>
        </w:rPr>
        <w:t>,etc</w:t>
      </w:r>
      <w:proofErr w:type="spellEnd"/>
      <w:proofErr w:type="gramEnd"/>
      <w:r w:rsidR="00F47658" w:rsidRPr="00F47658">
        <w:rPr>
          <w:rFonts w:asciiTheme="majorHAnsi" w:hAnsiTheme="majorHAnsi" w:cs="Arial"/>
          <w:sz w:val="24"/>
          <w:szCs w:val="24"/>
        </w:rPr>
        <w:t xml:space="preserve">. </w:t>
      </w:r>
      <w:r w:rsidR="00F47658" w:rsidRPr="00F47658">
        <w:rPr>
          <w:rFonts w:asciiTheme="majorHAnsi" w:hAnsiTheme="majorHAnsi"/>
          <w:sz w:val="24"/>
          <w:szCs w:val="24"/>
        </w:rPr>
        <w:t>The administration and staff of PS 24 feels</w:t>
      </w:r>
      <w:r w:rsidRPr="00F47658">
        <w:rPr>
          <w:rFonts w:asciiTheme="majorHAnsi" w:hAnsiTheme="majorHAnsi"/>
          <w:sz w:val="24"/>
          <w:szCs w:val="24"/>
        </w:rPr>
        <w:t xml:space="preserve"> that it was necessary </w:t>
      </w:r>
      <w:r w:rsidR="00F47658" w:rsidRPr="00F47658">
        <w:rPr>
          <w:rFonts w:asciiTheme="majorHAnsi" w:hAnsiTheme="majorHAnsi"/>
          <w:sz w:val="24"/>
          <w:szCs w:val="24"/>
        </w:rPr>
        <w:t xml:space="preserve">and a best practice </w:t>
      </w:r>
      <w:r w:rsidRPr="00F47658">
        <w:rPr>
          <w:rFonts w:asciiTheme="majorHAnsi" w:hAnsiTheme="majorHAnsi"/>
          <w:sz w:val="24"/>
          <w:szCs w:val="24"/>
        </w:rPr>
        <w:t>to create this policy and to provide this information to all stakeholders (parents, stud</w:t>
      </w:r>
      <w:r w:rsidR="00F47658" w:rsidRPr="00F47658">
        <w:rPr>
          <w:rFonts w:asciiTheme="majorHAnsi" w:hAnsiTheme="majorHAnsi"/>
          <w:sz w:val="24"/>
          <w:szCs w:val="24"/>
        </w:rPr>
        <w:t>ents</w:t>
      </w:r>
      <w:r w:rsidRPr="00F47658">
        <w:rPr>
          <w:rFonts w:asciiTheme="majorHAnsi" w:hAnsiTheme="majorHAnsi"/>
          <w:sz w:val="24"/>
          <w:szCs w:val="24"/>
        </w:rPr>
        <w:t xml:space="preserve">, </w:t>
      </w:r>
      <w:proofErr w:type="gramStart"/>
      <w:r w:rsidRPr="00F47658">
        <w:rPr>
          <w:rFonts w:asciiTheme="majorHAnsi" w:hAnsiTheme="majorHAnsi"/>
          <w:sz w:val="24"/>
          <w:szCs w:val="24"/>
        </w:rPr>
        <w:t>teachers</w:t>
      </w:r>
      <w:proofErr w:type="gramEnd"/>
      <w:r w:rsidRPr="00F47658">
        <w:rPr>
          <w:rFonts w:asciiTheme="majorHAnsi" w:hAnsiTheme="majorHAnsi"/>
          <w:sz w:val="24"/>
          <w:szCs w:val="24"/>
        </w:rPr>
        <w:t>, administration)</w:t>
      </w:r>
      <w:r w:rsidR="00F47658" w:rsidRPr="00F47658">
        <w:rPr>
          <w:rFonts w:asciiTheme="majorHAnsi" w:hAnsiTheme="majorHAnsi"/>
          <w:sz w:val="24"/>
          <w:szCs w:val="24"/>
        </w:rPr>
        <w:t xml:space="preserve"> to ensure transparency and equality in all staff members responsible for reporting grades</w:t>
      </w:r>
      <w:r w:rsidRPr="00F47658">
        <w:rPr>
          <w:rFonts w:asciiTheme="majorHAnsi" w:hAnsiTheme="majorHAnsi"/>
          <w:sz w:val="24"/>
          <w:szCs w:val="24"/>
        </w:rPr>
        <w:t xml:space="preserve">. Those in attendance </w:t>
      </w:r>
      <w:r w:rsidR="00F47658" w:rsidRPr="00F47658">
        <w:rPr>
          <w:rFonts w:asciiTheme="majorHAnsi" w:hAnsiTheme="majorHAnsi"/>
          <w:sz w:val="24"/>
          <w:szCs w:val="24"/>
        </w:rPr>
        <w:t>agreed</w:t>
      </w:r>
      <w:r w:rsidRPr="00F47658">
        <w:rPr>
          <w:rFonts w:asciiTheme="majorHAnsi" w:hAnsiTheme="majorHAnsi"/>
          <w:sz w:val="24"/>
          <w:szCs w:val="24"/>
        </w:rPr>
        <w:t xml:space="preserve"> on the following School-Wide Grading policy which will be used for all students </w:t>
      </w:r>
      <w:r w:rsidRPr="00F47658">
        <w:rPr>
          <w:rFonts w:asciiTheme="majorHAnsi" w:hAnsiTheme="majorHAnsi"/>
          <w:color w:val="000000" w:themeColor="text1"/>
          <w:sz w:val="24"/>
          <w:szCs w:val="24"/>
        </w:rPr>
        <w:t>(Grades K-5):</w:t>
      </w:r>
    </w:p>
    <w:p w:rsidR="002A1E67" w:rsidRDefault="002A1E67" w:rsidP="002A1E67">
      <w:pPr>
        <w:spacing w:line="240" w:lineRule="auto"/>
      </w:pPr>
    </w:p>
    <w:p w:rsidR="002A1E67" w:rsidRDefault="002A1E67" w:rsidP="002A1E67">
      <w:pPr>
        <w:spacing w:line="240" w:lineRule="auto"/>
      </w:pPr>
    </w:p>
    <w:p w:rsidR="002A1E67" w:rsidRDefault="002A1E67" w:rsidP="002A1E67">
      <w:pPr>
        <w:spacing w:line="240" w:lineRule="auto"/>
      </w:pPr>
    </w:p>
    <w:p w:rsidR="002A1E67" w:rsidRDefault="002A1E67" w:rsidP="002A1E67">
      <w:pPr>
        <w:spacing w:line="240" w:lineRule="auto"/>
      </w:pPr>
    </w:p>
    <w:p w:rsidR="002A1E67" w:rsidRDefault="002A1E67" w:rsidP="002A1E67">
      <w:pPr>
        <w:spacing w:line="240" w:lineRule="auto"/>
      </w:pPr>
    </w:p>
    <w:p w:rsidR="002A1E67" w:rsidRDefault="002A1E67" w:rsidP="002A1E67">
      <w:pPr>
        <w:spacing w:line="240" w:lineRule="auto"/>
      </w:pPr>
    </w:p>
    <w:p w:rsidR="002A1E67" w:rsidRDefault="002A1E67" w:rsidP="002A1E67">
      <w:pPr>
        <w:spacing w:line="240" w:lineRule="auto"/>
      </w:pPr>
    </w:p>
    <w:p w:rsidR="002A1E67" w:rsidRPr="00F47658" w:rsidRDefault="00F47658" w:rsidP="002A1E67">
      <w:pPr>
        <w:spacing w:line="240" w:lineRule="auto"/>
        <w:rPr>
          <w:sz w:val="24"/>
          <w:szCs w:val="24"/>
        </w:rPr>
      </w:pPr>
      <w:r w:rsidRPr="00F47658">
        <w:rPr>
          <w:sz w:val="24"/>
          <w:szCs w:val="24"/>
        </w:rPr>
        <w:t>In Collaboration,</w:t>
      </w:r>
    </w:p>
    <w:p w:rsidR="00F47658" w:rsidRPr="00F47658" w:rsidRDefault="00F47658" w:rsidP="002A1E67">
      <w:pPr>
        <w:spacing w:line="240" w:lineRule="auto"/>
        <w:rPr>
          <w:sz w:val="24"/>
          <w:szCs w:val="24"/>
        </w:rPr>
      </w:pPr>
    </w:p>
    <w:p w:rsidR="00F47658" w:rsidRPr="00F47658" w:rsidRDefault="00F47658" w:rsidP="002A1E67">
      <w:pPr>
        <w:spacing w:line="240" w:lineRule="auto"/>
        <w:rPr>
          <w:sz w:val="24"/>
          <w:szCs w:val="24"/>
        </w:rPr>
      </w:pPr>
      <w:r w:rsidRPr="00F47658">
        <w:rPr>
          <w:sz w:val="24"/>
          <w:szCs w:val="24"/>
        </w:rPr>
        <w:t>Steven Schwartz</w:t>
      </w:r>
    </w:p>
    <w:p w:rsidR="00F47658" w:rsidRPr="00F47658" w:rsidRDefault="00F47658" w:rsidP="002A1E67">
      <w:pPr>
        <w:spacing w:line="240" w:lineRule="auto"/>
        <w:rPr>
          <w:sz w:val="24"/>
          <w:szCs w:val="24"/>
        </w:rPr>
      </w:pPr>
      <w:r w:rsidRPr="00F47658">
        <w:rPr>
          <w:sz w:val="24"/>
          <w:szCs w:val="24"/>
        </w:rPr>
        <w:t>I.A. Principal (10x024)</w:t>
      </w:r>
    </w:p>
    <w:p w:rsidR="00F47658" w:rsidRPr="00F47658" w:rsidRDefault="00F47658" w:rsidP="002A1E67">
      <w:pPr>
        <w:spacing w:line="240" w:lineRule="auto"/>
        <w:rPr>
          <w:sz w:val="24"/>
          <w:szCs w:val="24"/>
        </w:rPr>
      </w:pPr>
      <w:r w:rsidRPr="00F47658">
        <w:rPr>
          <w:sz w:val="24"/>
          <w:szCs w:val="24"/>
        </w:rPr>
        <w:t xml:space="preserve">The </w:t>
      </w:r>
      <w:proofErr w:type="spellStart"/>
      <w:r w:rsidRPr="00F47658">
        <w:rPr>
          <w:sz w:val="24"/>
          <w:szCs w:val="24"/>
        </w:rPr>
        <w:t>Spuyten</w:t>
      </w:r>
      <w:proofErr w:type="spellEnd"/>
      <w:r w:rsidRPr="00F47658">
        <w:rPr>
          <w:sz w:val="24"/>
          <w:szCs w:val="24"/>
        </w:rPr>
        <w:t xml:space="preserve"> Duyvil School</w:t>
      </w:r>
    </w:p>
    <w:p w:rsidR="002A1E67" w:rsidRDefault="002A1E67" w:rsidP="002A1E67">
      <w:pPr>
        <w:spacing w:line="240" w:lineRule="auto"/>
      </w:pPr>
    </w:p>
    <w:p w:rsidR="002A1E67" w:rsidRDefault="002A1E67" w:rsidP="002A1E67">
      <w:pPr>
        <w:spacing w:line="240" w:lineRule="auto"/>
      </w:pPr>
    </w:p>
    <w:p w:rsidR="002A1E67" w:rsidRDefault="002A1E67" w:rsidP="002A1E67">
      <w:pPr>
        <w:spacing w:line="240" w:lineRule="auto"/>
      </w:pPr>
    </w:p>
    <w:p w:rsidR="0024704D" w:rsidRDefault="00F47658" w:rsidP="00F47658">
      <w:pPr>
        <w:spacing w:line="240" w:lineRule="auto"/>
        <w:ind w:left="3600" w:firstLine="720"/>
      </w:pPr>
      <w:r>
        <w:rPr>
          <w:b/>
          <w:u w:val="single"/>
        </w:rPr>
        <w:t>School-Wide Grading Policy</w:t>
      </w:r>
    </w:p>
    <w:p w:rsidR="0024704D" w:rsidRDefault="0024704D">
      <w:pPr>
        <w:spacing w:line="240" w:lineRule="auto"/>
      </w:pPr>
    </w:p>
    <w:tbl>
      <w:tblPr>
        <w:tblStyle w:val="a"/>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5580"/>
      </w:tblGrid>
      <w:tr w:rsidR="0024704D">
        <w:tc>
          <w:tcPr>
            <w:tcW w:w="5580" w:type="dxa"/>
          </w:tcPr>
          <w:p w:rsidR="0024704D" w:rsidRDefault="00F47658">
            <w:pPr>
              <w:spacing w:line="240" w:lineRule="auto"/>
              <w:jc w:val="center"/>
            </w:pPr>
            <w:r>
              <w:rPr>
                <w:b/>
                <w:u w:val="single"/>
              </w:rPr>
              <w:t>Level</w:t>
            </w:r>
          </w:p>
        </w:tc>
        <w:tc>
          <w:tcPr>
            <w:tcW w:w="5580" w:type="dxa"/>
          </w:tcPr>
          <w:p w:rsidR="0024704D" w:rsidRDefault="00F47658">
            <w:pPr>
              <w:spacing w:line="240" w:lineRule="auto"/>
              <w:jc w:val="center"/>
            </w:pPr>
            <w:r>
              <w:rPr>
                <w:b/>
                <w:u w:val="single"/>
              </w:rPr>
              <w:t>Range</w:t>
            </w:r>
          </w:p>
        </w:tc>
      </w:tr>
      <w:tr w:rsidR="0024704D">
        <w:tc>
          <w:tcPr>
            <w:tcW w:w="5580" w:type="dxa"/>
            <w:vAlign w:val="center"/>
          </w:tcPr>
          <w:p w:rsidR="0024704D" w:rsidRDefault="00F47658">
            <w:pPr>
              <w:spacing w:line="240" w:lineRule="auto"/>
              <w:jc w:val="center"/>
            </w:pPr>
            <w:r>
              <w:rPr>
                <w:u w:val="single"/>
              </w:rPr>
              <w:t>4</w:t>
            </w:r>
          </w:p>
        </w:tc>
        <w:tc>
          <w:tcPr>
            <w:tcW w:w="5580" w:type="dxa"/>
            <w:vAlign w:val="center"/>
          </w:tcPr>
          <w:p w:rsidR="0024704D" w:rsidRDefault="00F47658">
            <w:pPr>
              <w:spacing w:line="240" w:lineRule="auto"/>
              <w:jc w:val="center"/>
            </w:pPr>
            <w:r>
              <w:rPr>
                <w:u w:val="single"/>
              </w:rPr>
              <w:t>90-100</w:t>
            </w:r>
          </w:p>
        </w:tc>
      </w:tr>
      <w:tr w:rsidR="0024704D">
        <w:tc>
          <w:tcPr>
            <w:tcW w:w="5580" w:type="dxa"/>
            <w:vAlign w:val="center"/>
          </w:tcPr>
          <w:p w:rsidR="0024704D" w:rsidRDefault="00F47658">
            <w:pPr>
              <w:spacing w:line="240" w:lineRule="auto"/>
              <w:jc w:val="center"/>
            </w:pPr>
            <w:r>
              <w:rPr>
                <w:u w:val="single"/>
              </w:rPr>
              <w:t>3+</w:t>
            </w:r>
          </w:p>
        </w:tc>
        <w:tc>
          <w:tcPr>
            <w:tcW w:w="5580" w:type="dxa"/>
            <w:vAlign w:val="center"/>
          </w:tcPr>
          <w:p w:rsidR="0024704D" w:rsidRDefault="00F47658">
            <w:pPr>
              <w:spacing w:line="240" w:lineRule="auto"/>
              <w:jc w:val="center"/>
            </w:pPr>
            <w:r>
              <w:rPr>
                <w:u w:val="single"/>
              </w:rPr>
              <w:t>85-89</w:t>
            </w:r>
          </w:p>
        </w:tc>
      </w:tr>
      <w:tr w:rsidR="0024704D">
        <w:tc>
          <w:tcPr>
            <w:tcW w:w="5580" w:type="dxa"/>
            <w:vAlign w:val="center"/>
          </w:tcPr>
          <w:p w:rsidR="0024704D" w:rsidRDefault="00F47658">
            <w:pPr>
              <w:spacing w:line="240" w:lineRule="auto"/>
              <w:jc w:val="center"/>
            </w:pPr>
            <w:r>
              <w:rPr>
                <w:u w:val="single"/>
              </w:rPr>
              <w:t>3</w:t>
            </w:r>
          </w:p>
        </w:tc>
        <w:tc>
          <w:tcPr>
            <w:tcW w:w="5580" w:type="dxa"/>
            <w:vAlign w:val="center"/>
          </w:tcPr>
          <w:p w:rsidR="0024704D" w:rsidRDefault="00F47658">
            <w:pPr>
              <w:spacing w:line="240" w:lineRule="auto"/>
              <w:jc w:val="center"/>
            </w:pPr>
            <w:r>
              <w:rPr>
                <w:u w:val="single"/>
              </w:rPr>
              <w:t>80-84</w:t>
            </w:r>
          </w:p>
        </w:tc>
      </w:tr>
      <w:tr w:rsidR="0024704D">
        <w:tc>
          <w:tcPr>
            <w:tcW w:w="5580" w:type="dxa"/>
            <w:vAlign w:val="center"/>
          </w:tcPr>
          <w:p w:rsidR="0024704D" w:rsidRDefault="00F47658">
            <w:pPr>
              <w:spacing w:line="240" w:lineRule="auto"/>
              <w:jc w:val="center"/>
            </w:pPr>
            <w:r>
              <w:rPr>
                <w:u w:val="single"/>
              </w:rPr>
              <w:t>3-</w:t>
            </w:r>
          </w:p>
        </w:tc>
        <w:tc>
          <w:tcPr>
            <w:tcW w:w="5580" w:type="dxa"/>
            <w:vAlign w:val="center"/>
          </w:tcPr>
          <w:p w:rsidR="0024704D" w:rsidRDefault="00F47658">
            <w:pPr>
              <w:spacing w:line="240" w:lineRule="auto"/>
              <w:jc w:val="center"/>
            </w:pPr>
            <w:r>
              <w:rPr>
                <w:u w:val="single"/>
              </w:rPr>
              <w:t>76-80</w:t>
            </w:r>
          </w:p>
        </w:tc>
      </w:tr>
      <w:tr w:rsidR="0024704D">
        <w:tc>
          <w:tcPr>
            <w:tcW w:w="5580" w:type="dxa"/>
            <w:vAlign w:val="center"/>
          </w:tcPr>
          <w:p w:rsidR="0024704D" w:rsidRDefault="00F47658">
            <w:pPr>
              <w:spacing w:line="240" w:lineRule="auto"/>
              <w:jc w:val="center"/>
            </w:pPr>
            <w:r>
              <w:rPr>
                <w:u w:val="single"/>
              </w:rPr>
              <w:t>2+</w:t>
            </w:r>
          </w:p>
        </w:tc>
        <w:tc>
          <w:tcPr>
            <w:tcW w:w="5580" w:type="dxa"/>
            <w:vAlign w:val="center"/>
          </w:tcPr>
          <w:p w:rsidR="0024704D" w:rsidRDefault="00F47658">
            <w:pPr>
              <w:spacing w:line="240" w:lineRule="auto"/>
              <w:jc w:val="center"/>
            </w:pPr>
            <w:r>
              <w:t>71-75</w:t>
            </w:r>
          </w:p>
        </w:tc>
      </w:tr>
      <w:tr w:rsidR="0024704D">
        <w:tc>
          <w:tcPr>
            <w:tcW w:w="5580" w:type="dxa"/>
            <w:vAlign w:val="center"/>
          </w:tcPr>
          <w:p w:rsidR="0024704D" w:rsidRDefault="00F47658">
            <w:pPr>
              <w:spacing w:line="240" w:lineRule="auto"/>
              <w:jc w:val="center"/>
            </w:pPr>
            <w:r>
              <w:rPr>
                <w:u w:val="single"/>
              </w:rPr>
              <w:t>2</w:t>
            </w:r>
          </w:p>
        </w:tc>
        <w:tc>
          <w:tcPr>
            <w:tcW w:w="5580" w:type="dxa"/>
            <w:vAlign w:val="center"/>
          </w:tcPr>
          <w:p w:rsidR="0024704D" w:rsidRDefault="00F47658">
            <w:pPr>
              <w:spacing w:line="240" w:lineRule="auto"/>
              <w:jc w:val="center"/>
            </w:pPr>
            <w:r>
              <w:t>66-70</w:t>
            </w:r>
          </w:p>
        </w:tc>
      </w:tr>
      <w:tr w:rsidR="0024704D">
        <w:tc>
          <w:tcPr>
            <w:tcW w:w="5580" w:type="dxa"/>
            <w:vAlign w:val="center"/>
          </w:tcPr>
          <w:p w:rsidR="0024704D" w:rsidRDefault="00F47658">
            <w:pPr>
              <w:spacing w:line="240" w:lineRule="auto"/>
              <w:jc w:val="center"/>
            </w:pPr>
            <w:r>
              <w:rPr>
                <w:u w:val="single"/>
              </w:rPr>
              <w:t>2-</w:t>
            </w:r>
          </w:p>
        </w:tc>
        <w:tc>
          <w:tcPr>
            <w:tcW w:w="5580" w:type="dxa"/>
            <w:vAlign w:val="center"/>
          </w:tcPr>
          <w:p w:rsidR="0024704D" w:rsidRDefault="00F47658">
            <w:pPr>
              <w:spacing w:line="240" w:lineRule="auto"/>
              <w:jc w:val="center"/>
            </w:pPr>
            <w:r>
              <w:t>60-65</w:t>
            </w:r>
          </w:p>
        </w:tc>
      </w:tr>
      <w:tr w:rsidR="0024704D">
        <w:tc>
          <w:tcPr>
            <w:tcW w:w="5580" w:type="dxa"/>
            <w:vAlign w:val="center"/>
          </w:tcPr>
          <w:p w:rsidR="0024704D" w:rsidRDefault="00F47658">
            <w:pPr>
              <w:spacing w:line="240" w:lineRule="auto"/>
              <w:jc w:val="center"/>
            </w:pPr>
            <w:r>
              <w:rPr>
                <w:u w:val="single"/>
              </w:rPr>
              <w:t>1+</w:t>
            </w:r>
          </w:p>
        </w:tc>
        <w:tc>
          <w:tcPr>
            <w:tcW w:w="5580" w:type="dxa"/>
            <w:vAlign w:val="center"/>
          </w:tcPr>
          <w:p w:rsidR="0024704D" w:rsidRDefault="00F47658">
            <w:pPr>
              <w:spacing w:line="240" w:lineRule="auto"/>
              <w:jc w:val="center"/>
            </w:pPr>
            <w:r>
              <w:t>55-59</w:t>
            </w:r>
          </w:p>
        </w:tc>
      </w:tr>
      <w:tr w:rsidR="0024704D">
        <w:tc>
          <w:tcPr>
            <w:tcW w:w="5580" w:type="dxa"/>
            <w:vAlign w:val="center"/>
          </w:tcPr>
          <w:p w:rsidR="0024704D" w:rsidRDefault="00F47658">
            <w:pPr>
              <w:spacing w:line="240" w:lineRule="auto"/>
              <w:jc w:val="center"/>
            </w:pPr>
            <w:r>
              <w:rPr>
                <w:u w:val="single"/>
              </w:rPr>
              <w:t>1</w:t>
            </w:r>
          </w:p>
        </w:tc>
        <w:tc>
          <w:tcPr>
            <w:tcW w:w="5580" w:type="dxa"/>
            <w:vAlign w:val="center"/>
          </w:tcPr>
          <w:p w:rsidR="0024704D" w:rsidRDefault="00F47658">
            <w:pPr>
              <w:spacing w:line="240" w:lineRule="auto"/>
              <w:jc w:val="center"/>
            </w:pPr>
            <w:r>
              <w:t>0-54</w:t>
            </w:r>
          </w:p>
        </w:tc>
      </w:tr>
    </w:tbl>
    <w:p w:rsidR="00877355" w:rsidRDefault="00877355">
      <w:pPr>
        <w:spacing w:line="240" w:lineRule="auto"/>
        <w:rPr>
          <w:color w:val="FF0000"/>
          <w:u w:val="single"/>
        </w:rPr>
      </w:pPr>
    </w:p>
    <w:p w:rsidR="0024704D" w:rsidRDefault="00F47658">
      <w:pPr>
        <w:spacing w:line="240" w:lineRule="auto"/>
      </w:pPr>
      <w:r>
        <w:t>For information on Promotional Standards, please review the following Chancellor’s Regulation</w:t>
      </w:r>
    </w:p>
    <w:p w:rsidR="0024704D" w:rsidRDefault="00194BF1">
      <w:pPr>
        <w:spacing w:line="240" w:lineRule="auto"/>
      </w:pPr>
      <w:hyperlink r:id="rId7">
        <w:r w:rsidR="00F47658">
          <w:rPr>
            <w:color w:val="0000FF"/>
            <w:u w:val="single"/>
          </w:rPr>
          <w:t>http://schools.nyc.gov/NR/rdonlyres/05F5B0BC-4B78-401B-AFF8-13C0520C557D/0/A501.pdf</w:t>
        </w:r>
      </w:hyperlink>
    </w:p>
    <w:p w:rsidR="0024704D" w:rsidRDefault="00194BF1">
      <w:pPr>
        <w:spacing w:line="240" w:lineRule="auto"/>
      </w:pPr>
      <w:hyperlink r:id="rId8"/>
    </w:p>
    <w:p w:rsidR="0024704D" w:rsidRDefault="00194BF1">
      <w:pPr>
        <w:spacing w:line="240" w:lineRule="auto"/>
      </w:pPr>
      <w:hyperlink r:id="rId9"/>
    </w:p>
    <w:p w:rsidR="0024704D" w:rsidRDefault="00194BF1">
      <w:pPr>
        <w:spacing w:line="240" w:lineRule="auto"/>
        <w:jc w:val="center"/>
      </w:pPr>
      <w:hyperlink r:id="rId10"/>
    </w:p>
    <w:p w:rsidR="0024704D" w:rsidRDefault="00194BF1">
      <w:pPr>
        <w:spacing w:line="240" w:lineRule="auto"/>
        <w:jc w:val="center"/>
      </w:pPr>
      <w:hyperlink r:id="rId11"/>
    </w:p>
    <w:p w:rsidR="0024704D" w:rsidRDefault="00194BF1">
      <w:pPr>
        <w:spacing w:line="240" w:lineRule="auto"/>
        <w:jc w:val="center"/>
      </w:pPr>
      <w:hyperlink r:id="rId12"/>
    </w:p>
    <w:p w:rsidR="0024704D" w:rsidRDefault="00194BF1">
      <w:pPr>
        <w:spacing w:line="240" w:lineRule="auto"/>
        <w:jc w:val="center"/>
      </w:pPr>
      <w:hyperlink r:id="rId13"/>
    </w:p>
    <w:p w:rsidR="0024704D" w:rsidRDefault="00194BF1">
      <w:pPr>
        <w:spacing w:line="240" w:lineRule="auto"/>
        <w:jc w:val="center"/>
      </w:pPr>
      <w:hyperlink r:id="rId14"/>
    </w:p>
    <w:p w:rsidR="00F47658" w:rsidRDefault="00F47658" w:rsidP="00877355">
      <w:pPr>
        <w:spacing w:line="240" w:lineRule="auto"/>
        <w:jc w:val="center"/>
      </w:pPr>
    </w:p>
    <w:p w:rsidR="00F47658" w:rsidRDefault="00F47658" w:rsidP="00877355">
      <w:pPr>
        <w:spacing w:line="240" w:lineRule="auto"/>
        <w:jc w:val="center"/>
      </w:pPr>
    </w:p>
    <w:p w:rsidR="00F47658" w:rsidRDefault="00F47658" w:rsidP="00877355">
      <w:pPr>
        <w:spacing w:line="240" w:lineRule="auto"/>
        <w:jc w:val="center"/>
      </w:pPr>
    </w:p>
    <w:p w:rsidR="00F47658" w:rsidRDefault="00F47658" w:rsidP="00877355">
      <w:pPr>
        <w:spacing w:line="240" w:lineRule="auto"/>
        <w:jc w:val="center"/>
      </w:pPr>
    </w:p>
    <w:p w:rsidR="00F47658" w:rsidRDefault="00F47658" w:rsidP="00877355">
      <w:pPr>
        <w:spacing w:line="240" w:lineRule="auto"/>
        <w:jc w:val="center"/>
      </w:pPr>
    </w:p>
    <w:p w:rsidR="00F47658" w:rsidRDefault="00F47658" w:rsidP="00877355">
      <w:pPr>
        <w:spacing w:line="240" w:lineRule="auto"/>
        <w:jc w:val="center"/>
      </w:pPr>
    </w:p>
    <w:p w:rsidR="00F47658" w:rsidRDefault="00F47658" w:rsidP="00877355">
      <w:pPr>
        <w:spacing w:line="240" w:lineRule="auto"/>
        <w:jc w:val="center"/>
      </w:pPr>
    </w:p>
    <w:p w:rsidR="00F47658" w:rsidRDefault="00F47658" w:rsidP="00877355">
      <w:pPr>
        <w:spacing w:line="240" w:lineRule="auto"/>
        <w:jc w:val="center"/>
      </w:pPr>
    </w:p>
    <w:p w:rsidR="00F47658" w:rsidRDefault="00F47658" w:rsidP="00877355">
      <w:pPr>
        <w:spacing w:line="240" w:lineRule="auto"/>
        <w:jc w:val="center"/>
      </w:pPr>
    </w:p>
    <w:p w:rsidR="0024704D" w:rsidRDefault="00194BF1" w:rsidP="00877355">
      <w:pPr>
        <w:spacing w:line="240" w:lineRule="auto"/>
        <w:jc w:val="center"/>
      </w:pPr>
      <w:hyperlink r:id="rId15"/>
      <w:r w:rsidR="00F47658">
        <w:rPr>
          <w:b/>
          <w:u w:val="single"/>
        </w:rPr>
        <w:t>Weight of Grading Policy</w:t>
      </w:r>
    </w:p>
    <w:p w:rsidR="0024704D" w:rsidRDefault="00F47658">
      <w:pPr>
        <w:spacing w:line="240" w:lineRule="auto"/>
      </w:pPr>
      <w:r>
        <w:rPr>
          <w:b/>
          <w:u w:val="single"/>
        </w:rPr>
        <w:t>Final Assessments = 50%</w:t>
      </w:r>
    </w:p>
    <w:p w:rsidR="0024704D" w:rsidRDefault="00F47658">
      <w:pPr>
        <w:spacing w:line="240" w:lineRule="auto"/>
      </w:pPr>
      <w:r>
        <w:tab/>
        <w:t>This may include the final test, project, presentation, or task that incorporates al</w:t>
      </w:r>
      <w:r w:rsidR="00877355">
        <w:t xml:space="preserve">l of the learning for the unit </w:t>
      </w:r>
      <w:r>
        <w:t>of study. The assessment should be a culmination of all prior assessments and class work that were a part of the unit of study to gauge the level of und</w:t>
      </w:r>
      <w:r w:rsidR="00877355">
        <w:t>erstanding for the entire unit</w:t>
      </w:r>
      <w:r w:rsidR="00877355">
        <w:rPr>
          <w:color w:val="FF0000"/>
        </w:rPr>
        <w:t xml:space="preserve"> </w:t>
      </w:r>
      <w:r>
        <w:t>of study. Examples may include, but not limited to:</w:t>
      </w:r>
    </w:p>
    <w:p w:rsidR="0024704D" w:rsidRDefault="00F47658">
      <w:pPr>
        <w:numPr>
          <w:ilvl w:val="0"/>
          <w:numId w:val="1"/>
        </w:numPr>
        <w:spacing w:line="240" w:lineRule="auto"/>
        <w:ind w:hanging="360"/>
      </w:pPr>
      <w:r>
        <w:t>End of Unit Cumulative test</w:t>
      </w:r>
    </w:p>
    <w:p w:rsidR="0024704D" w:rsidRDefault="00F47658">
      <w:pPr>
        <w:numPr>
          <w:ilvl w:val="0"/>
          <w:numId w:val="1"/>
        </w:numPr>
        <w:spacing w:line="240" w:lineRule="auto"/>
        <w:ind w:hanging="360"/>
      </w:pPr>
      <w:r>
        <w:t>End of Unit Project</w:t>
      </w:r>
    </w:p>
    <w:p w:rsidR="0024704D" w:rsidRDefault="00F47658">
      <w:pPr>
        <w:numPr>
          <w:ilvl w:val="0"/>
          <w:numId w:val="1"/>
        </w:numPr>
        <w:spacing w:line="240" w:lineRule="auto"/>
        <w:ind w:hanging="360"/>
      </w:pPr>
      <w:r>
        <w:t>End of Unit Presentation</w:t>
      </w:r>
    </w:p>
    <w:p w:rsidR="0024704D" w:rsidRDefault="00F47658">
      <w:pPr>
        <w:numPr>
          <w:ilvl w:val="0"/>
          <w:numId w:val="1"/>
        </w:numPr>
        <w:spacing w:line="240" w:lineRule="auto"/>
        <w:ind w:hanging="360"/>
      </w:pPr>
      <w:r>
        <w:t>Oral Presentation</w:t>
      </w:r>
    </w:p>
    <w:p w:rsidR="0024704D" w:rsidRPr="00877355" w:rsidRDefault="00F47658">
      <w:pPr>
        <w:numPr>
          <w:ilvl w:val="0"/>
          <w:numId w:val="1"/>
        </w:numPr>
        <w:spacing w:line="240" w:lineRule="auto"/>
        <w:ind w:hanging="360"/>
        <w:rPr>
          <w:color w:val="000000" w:themeColor="text1"/>
        </w:rPr>
      </w:pPr>
      <w:r w:rsidRPr="00877355">
        <w:rPr>
          <w:color w:val="000000" w:themeColor="text1"/>
        </w:rPr>
        <w:t>End of Unit Writing Assessments</w:t>
      </w:r>
    </w:p>
    <w:p w:rsidR="0024704D" w:rsidRDefault="00F47658">
      <w:pPr>
        <w:spacing w:line="240" w:lineRule="auto"/>
      </w:pPr>
      <w:r>
        <w:rPr>
          <w:b/>
          <w:u w:val="single"/>
        </w:rPr>
        <w:t>Classwork Products = 30%</w:t>
      </w:r>
    </w:p>
    <w:p w:rsidR="0024704D" w:rsidRDefault="00F47658">
      <w:pPr>
        <w:spacing w:line="240" w:lineRule="auto"/>
      </w:pPr>
      <w:r>
        <w:tab/>
        <w:t>This includes all of the day-to-day assessments in the classroom. This may include on-demand tasks, p</w:t>
      </w:r>
      <w:r w:rsidR="00877355">
        <w:t>rojects, presentations, quizzes</w:t>
      </w:r>
      <w:r>
        <w:t>, homework. Examples may include, but not limited to:</w:t>
      </w:r>
    </w:p>
    <w:p w:rsidR="0024704D" w:rsidRDefault="00877355">
      <w:pPr>
        <w:numPr>
          <w:ilvl w:val="0"/>
          <w:numId w:val="1"/>
        </w:numPr>
        <w:spacing w:line="240" w:lineRule="auto"/>
        <w:ind w:hanging="360"/>
      </w:pPr>
      <w:r>
        <w:t xml:space="preserve">Short quizzes </w:t>
      </w:r>
      <w:r w:rsidR="00F47658">
        <w:t xml:space="preserve"> </w:t>
      </w:r>
    </w:p>
    <w:p w:rsidR="0024704D" w:rsidRPr="00877355" w:rsidRDefault="00F47658">
      <w:pPr>
        <w:numPr>
          <w:ilvl w:val="0"/>
          <w:numId w:val="1"/>
        </w:numPr>
        <w:spacing w:line="240" w:lineRule="auto"/>
        <w:ind w:hanging="360"/>
        <w:rPr>
          <w:color w:val="000000" w:themeColor="text1"/>
        </w:rPr>
      </w:pPr>
      <w:r w:rsidRPr="00877355">
        <w:rPr>
          <w:color w:val="000000" w:themeColor="text1"/>
        </w:rPr>
        <w:t>Published writing pieces</w:t>
      </w:r>
    </w:p>
    <w:p w:rsidR="0024704D" w:rsidRDefault="00F47658">
      <w:pPr>
        <w:numPr>
          <w:ilvl w:val="0"/>
          <w:numId w:val="1"/>
        </w:numPr>
        <w:spacing w:line="240" w:lineRule="auto"/>
        <w:ind w:hanging="360"/>
      </w:pPr>
      <w:r>
        <w:t>Daily tasks</w:t>
      </w:r>
    </w:p>
    <w:p w:rsidR="0024704D" w:rsidRDefault="00F47658">
      <w:pPr>
        <w:numPr>
          <w:ilvl w:val="0"/>
          <w:numId w:val="1"/>
        </w:numPr>
        <w:spacing w:line="240" w:lineRule="auto"/>
        <w:ind w:hanging="360"/>
      </w:pPr>
      <w:r>
        <w:t>Small Group work assignment</w:t>
      </w:r>
    </w:p>
    <w:p w:rsidR="0024704D" w:rsidRDefault="00F47658">
      <w:pPr>
        <w:spacing w:line="240" w:lineRule="auto"/>
      </w:pPr>
      <w:r>
        <w:rPr>
          <w:b/>
          <w:u w:val="single"/>
        </w:rPr>
        <w:t>Class Participation = 15%</w:t>
      </w:r>
    </w:p>
    <w:p w:rsidR="0024704D" w:rsidRDefault="00F47658">
      <w:pPr>
        <w:spacing w:line="240" w:lineRule="auto"/>
      </w:pPr>
      <w:r>
        <w:tab/>
        <w:t>This includes the level of participation from a student. Participation may include contributing to a classroom discussion, contributing to group work, contributing to the classro</w:t>
      </w:r>
      <w:r w:rsidR="00877355">
        <w:t xml:space="preserve">om environment, staying on task. </w:t>
      </w:r>
      <w:r>
        <w:t>Examples may include, but not limited to:</w:t>
      </w:r>
    </w:p>
    <w:p w:rsidR="0024704D" w:rsidRDefault="00877355">
      <w:pPr>
        <w:numPr>
          <w:ilvl w:val="0"/>
          <w:numId w:val="1"/>
        </w:numPr>
        <w:spacing w:line="240" w:lineRule="auto"/>
        <w:ind w:hanging="360"/>
      </w:pPr>
      <w:r>
        <w:t>Consistently</w:t>
      </w:r>
      <w:r w:rsidR="00F47658">
        <w:t xml:space="preserve"> participating to group discussions</w:t>
      </w:r>
    </w:p>
    <w:p w:rsidR="0024704D" w:rsidRDefault="00877355">
      <w:pPr>
        <w:numPr>
          <w:ilvl w:val="0"/>
          <w:numId w:val="1"/>
        </w:numPr>
        <w:spacing w:line="240" w:lineRule="auto"/>
        <w:ind w:hanging="360"/>
      </w:pPr>
      <w:r>
        <w:t>Consistently providing</w:t>
      </w:r>
      <w:r w:rsidR="00F47658">
        <w:t xml:space="preserve"> input when working with a group of students</w:t>
      </w:r>
    </w:p>
    <w:p w:rsidR="0024704D" w:rsidRDefault="00877355">
      <w:pPr>
        <w:numPr>
          <w:ilvl w:val="0"/>
          <w:numId w:val="1"/>
        </w:numPr>
        <w:spacing w:line="240" w:lineRule="auto"/>
        <w:ind w:hanging="360"/>
      </w:pPr>
      <w:r>
        <w:t>Asking</w:t>
      </w:r>
      <w:r w:rsidR="00F47658">
        <w:t xml:space="preserve"> </w:t>
      </w:r>
      <w:r>
        <w:rPr>
          <w:color w:val="FF0000"/>
        </w:rPr>
        <w:t xml:space="preserve"> </w:t>
      </w:r>
      <w:r w:rsidR="00F47658">
        <w:t>f</w:t>
      </w:r>
      <w:r>
        <w:t>or help when needed  / Providing</w:t>
      </w:r>
      <w:r w:rsidR="00F47658">
        <w:t xml:space="preserve"> help to peers when needed</w:t>
      </w:r>
    </w:p>
    <w:p w:rsidR="0024704D" w:rsidRDefault="00877355">
      <w:pPr>
        <w:numPr>
          <w:ilvl w:val="0"/>
          <w:numId w:val="1"/>
        </w:numPr>
        <w:spacing w:line="240" w:lineRule="auto"/>
        <w:ind w:hanging="360"/>
      </w:pPr>
      <w:r>
        <w:t>Contributing</w:t>
      </w:r>
      <w:r w:rsidR="00F47658">
        <w:t xml:space="preserve"> to a positive classroom environment that is conducive to high levels of learning</w:t>
      </w:r>
    </w:p>
    <w:p w:rsidR="0024704D" w:rsidRDefault="00F47658">
      <w:pPr>
        <w:spacing w:line="240" w:lineRule="auto"/>
      </w:pPr>
      <w:r>
        <w:rPr>
          <w:b/>
          <w:u w:val="single"/>
        </w:rPr>
        <w:t>Attendance/Promptness = 5%</w:t>
      </w:r>
    </w:p>
    <w:p w:rsidR="0024704D" w:rsidRDefault="00F47658">
      <w:pPr>
        <w:spacing w:line="240" w:lineRule="auto"/>
      </w:pPr>
      <w:r>
        <w:tab/>
        <w:t>This includes being on time and present in the classroom on a daily basis. Studies have shown that attendance and promptness are key factors to the success of the learning of all students. Please note the following:</w:t>
      </w:r>
    </w:p>
    <w:p w:rsidR="0024704D" w:rsidRDefault="00F47658">
      <w:pPr>
        <w:numPr>
          <w:ilvl w:val="0"/>
          <w:numId w:val="1"/>
        </w:numPr>
        <w:spacing w:line="240" w:lineRule="auto"/>
        <w:ind w:hanging="360"/>
      </w:pPr>
      <w:r>
        <w:t>Students who take the bus to school are not to be penalized for being late.</w:t>
      </w:r>
    </w:p>
    <w:p w:rsidR="0024704D" w:rsidRDefault="00F47658">
      <w:pPr>
        <w:numPr>
          <w:ilvl w:val="0"/>
          <w:numId w:val="1"/>
        </w:numPr>
        <w:spacing w:line="240" w:lineRule="auto"/>
        <w:ind w:hanging="360"/>
      </w:pPr>
      <w:r>
        <w:t>Students who provide a medical note are not to be penalized for their absence.</w:t>
      </w:r>
    </w:p>
    <w:p w:rsidR="0024704D" w:rsidRDefault="00F47658">
      <w:pPr>
        <w:spacing w:line="240" w:lineRule="auto"/>
      </w:pPr>
      <w:r>
        <w:rPr>
          <w:b/>
          <w:u w:val="single"/>
        </w:rPr>
        <w:t>Other Notes:</w:t>
      </w:r>
    </w:p>
    <w:p w:rsidR="0024704D" w:rsidRDefault="00F47658">
      <w:pPr>
        <w:numPr>
          <w:ilvl w:val="0"/>
          <w:numId w:val="1"/>
        </w:numPr>
        <w:spacing w:line="240" w:lineRule="auto"/>
        <w:ind w:hanging="360"/>
      </w:pPr>
      <w:r>
        <w:t>This grading policy will be reviewed and revised if necessary in June 2017</w:t>
      </w:r>
    </w:p>
    <w:p w:rsidR="0024704D" w:rsidRDefault="0024704D">
      <w:pPr>
        <w:spacing w:line="240" w:lineRule="auto"/>
      </w:pPr>
    </w:p>
    <w:sectPr w:rsidR="0024704D">
      <w:pgSz w:w="12240" w:h="15840"/>
      <w:pgMar w:top="576" w:right="720"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224AB"/>
    <w:multiLevelType w:val="multilevel"/>
    <w:tmpl w:val="E506B7E2"/>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24704D"/>
    <w:rsid w:val="00194BF1"/>
    <w:rsid w:val="0024704D"/>
    <w:rsid w:val="002A1E67"/>
    <w:rsid w:val="00877355"/>
    <w:rsid w:val="00F4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7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55"/>
    <w:rPr>
      <w:rFonts w:ascii="Tahoma" w:hAnsi="Tahoma" w:cs="Tahoma"/>
      <w:sz w:val="16"/>
      <w:szCs w:val="16"/>
    </w:rPr>
  </w:style>
  <w:style w:type="character" w:styleId="Strong">
    <w:name w:val="Strong"/>
    <w:basedOn w:val="DefaultParagraphFont"/>
    <w:uiPriority w:val="22"/>
    <w:qFormat/>
    <w:rsid w:val="002A1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7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55"/>
    <w:rPr>
      <w:rFonts w:ascii="Tahoma" w:hAnsi="Tahoma" w:cs="Tahoma"/>
      <w:sz w:val="16"/>
      <w:szCs w:val="16"/>
    </w:rPr>
  </w:style>
  <w:style w:type="character" w:styleId="Strong">
    <w:name w:val="Strong"/>
    <w:basedOn w:val="DefaultParagraphFont"/>
    <w:uiPriority w:val="22"/>
    <w:qFormat/>
    <w:rsid w:val="002A1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ools.nyc.gov/NR/rdonlyres/05F5B0BC-4B78-401B-AFF8-13C0520C557D/0/A501.pdf" TargetMode="External"/><Relationship Id="rId13" Type="http://schemas.openxmlformats.org/officeDocument/2006/relationships/hyperlink" Target="http://schools.nyc.gov/NR/rdonlyres/05F5B0BC-4B78-401B-AFF8-13C0520C557D/0/A501.pdf" TargetMode="External"/><Relationship Id="rId3" Type="http://schemas.microsoft.com/office/2007/relationships/stylesWithEffects" Target="stylesWithEffects.xml"/><Relationship Id="rId7" Type="http://schemas.openxmlformats.org/officeDocument/2006/relationships/hyperlink" Target="http://schools.nyc.gov/NR/rdonlyres/05F5B0BC-4B78-401B-AFF8-13C0520C557D/0/A501.pdf" TargetMode="External"/><Relationship Id="rId12" Type="http://schemas.openxmlformats.org/officeDocument/2006/relationships/hyperlink" Target="http://schools.nyc.gov/NR/rdonlyres/05F5B0BC-4B78-401B-AFF8-13C0520C557D/0/A5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ools.nyc.gov/NR/rdonlyres/05F5B0BC-4B78-401B-AFF8-13C0520C557D/0/A501.pdf" TargetMode="External"/><Relationship Id="rId5" Type="http://schemas.openxmlformats.org/officeDocument/2006/relationships/webSettings" Target="webSettings.xml"/><Relationship Id="rId15" Type="http://schemas.openxmlformats.org/officeDocument/2006/relationships/hyperlink" Target="http://schools.nyc.gov/NR/rdonlyres/05F5B0BC-4B78-401B-AFF8-13C0520C557D/0/A501.pdf" TargetMode="External"/><Relationship Id="rId10" Type="http://schemas.openxmlformats.org/officeDocument/2006/relationships/hyperlink" Target="http://schools.nyc.gov/NR/rdonlyres/05F5B0BC-4B78-401B-AFF8-13C0520C557D/0/A501.pdf" TargetMode="External"/><Relationship Id="rId4" Type="http://schemas.openxmlformats.org/officeDocument/2006/relationships/settings" Target="settings.xml"/><Relationship Id="rId9" Type="http://schemas.openxmlformats.org/officeDocument/2006/relationships/hyperlink" Target="http://schools.nyc.gov/NR/rdonlyres/05F5B0BC-4B78-401B-AFF8-13C0520C557D/0/A501.pdf" TargetMode="External"/><Relationship Id="rId14" Type="http://schemas.openxmlformats.org/officeDocument/2006/relationships/hyperlink" Target="http://schools.nyc.gov/NR/rdonlyres/05F5B0BC-4B78-401B-AFF8-13C0520C557D/0/A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2017-01-17T13:16:00Z</dcterms:created>
  <dcterms:modified xsi:type="dcterms:W3CDTF">2017-01-17T13:16:00Z</dcterms:modified>
</cp:coreProperties>
</file>