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8B8D1" w14:textId="77777777" w:rsidR="006D1651" w:rsidRDefault="0025655F">
      <w:pPr>
        <w:spacing w:after="0" w:line="259" w:lineRule="auto"/>
        <w:ind w:left="85" w:right="1068" w:firstLine="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6E3956F9" wp14:editId="28CA7629">
            <wp:simplePos x="0" y="0"/>
            <wp:positionH relativeFrom="column">
              <wp:posOffset>5279390</wp:posOffset>
            </wp:positionH>
            <wp:positionV relativeFrom="paragraph">
              <wp:posOffset>-236273</wp:posOffset>
            </wp:positionV>
            <wp:extent cx="845185" cy="828040"/>
            <wp:effectExtent l="0" t="0" r="0" b="0"/>
            <wp:wrapSquare wrapText="bothSides"/>
            <wp:docPr id="280" name="Picture 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Picture 28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 xml:space="preserve">literacy terms we all need to know </w:t>
      </w:r>
    </w:p>
    <w:p w14:paraId="31F70557" w14:textId="77777777" w:rsidR="006D1651" w:rsidRDefault="0025655F">
      <w:pPr>
        <w:spacing w:after="0" w:line="244" w:lineRule="auto"/>
        <w:ind w:left="2386" w:right="1068" w:firstLine="0"/>
        <w:jc w:val="center"/>
      </w:pPr>
      <w:r>
        <w:rPr>
          <w:sz w:val="28"/>
        </w:rPr>
        <w:t xml:space="preserve">_______________________________ </w:t>
      </w:r>
      <w:r>
        <w:rPr>
          <w:color w:val="595959"/>
        </w:rPr>
        <w:t xml:space="preserve">teachmama.com </w:t>
      </w:r>
    </w:p>
    <w:p w14:paraId="6C94A528" w14:textId="77777777" w:rsidR="006D1651" w:rsidRDefault="0025655F">
      <w:pPr>
        <w:spacing w:after="0" w:line="259" w:lineRule="auto"/>
        <w:ind w:left="153" w:firstLine="0"/>
        <w:jc w:val="center"/>
      </w:pPr>
      <w:r>
        <w:rPr>
          <w:sz w:val="22"/>
        </w:rPr>
        <w:t xml:space="preserve"> </w:t>
      </w:r>
    </w:p>
    <w:p w14:paraId="1D90E579" w14:textId="77777777" w:rsidR="006D1651" w:rsidRDefault="0025655F">
      <w:pPr>
        <w:ind w:left="-5"/>
      </w:pPr>
      <w:r>
        <w:t xml:space="preserve">Comprehension: </w:t>
      </w:r>
      <w:r>
        <w:t>a complex process in which a reader interacts with a text in a specific context in order to construct meaning.  Specific comprehension strategies should be taught and can be taught even before a student can read.   Such strategies include making connection</w:t>
      </w:r>
      <w:r>
        <w:t xml:space="preserve">s, questioning, visualizing, inferring, determining importance, and synthesizing.  </w:t>
      </w:r>
      <w:r>
        <w:rPr>
          <w:sz w:val="28"/>
        </w:rPr>
        <w:t xml:space="preserve"> </w:t>
      </w:r>
    </w:p>
    <w:p w14:paraId="5AC002D6" w14:textId="77777777" w:rsidR="006D1651" w:rsidRDefault="0025655F">
      <w:pPr>
        <w:spacing w:after="0" w:line="259" w:lineRule="auto"/>
        <w:ind w:left="0" w:firstLine="0"/>
      </w:pPr>
      <w:r>
        <w:t xml:space="preserve"> </w:t>
      </w:r>
    </w:p>
    <w:p w14:paraId="1339A835" w14:textId="77777777" w:rsidR="006D1651" w:rsidRDefault="0025655F">
      <w:pPr>
        <w:spacing w:after="25"/>
        <w:ind w:left="-5"/>
      </w:pPr>
      <w:r>
        <w:t xml:space="preserve">Decoding: the process of figuring out a new word in a text. Deciphering text into understandable words.   </w:t>
      </w:r>
    </w:p>
    <w:p w14:paraId="25F6B247" w14:textId="77777777" w:rsidR="006D1651" w:rsidRDefault="0025655F">
      <w:pPr>
        <w:spacing w:after="0" w:line="259" w:lineRule="auto"/>
        <w:ind w:left="0" w:firstLine="0"/>
      </w:pPr>
      <w:r>
        <w:t xml:space="preserve"> </w:t>
      </w:r>
    </w:p>
    <w:p w14:paraId="04220A0A" w14:textId="77777777" w:rsidR="006D1651" w:rsidRDefault="0025655F">
      <w:pPr>
        <w:ind w:left="-5"/>
      </w:pPr>
      <w:r>
        <w:t>Fluency: the ability to read orally with speed, accuracy, an</w:t>
      </w:r>
      <w:r>
        <w:t xml:space="preserve">d expression while comprehending a given text.  Fluency involves the ability to read effortlessly, automatically, and with the correct speed.   </w:t>
      </w:r>
    </w:p>
    <w:p w14:paraId="28E7D69C" w14:textId="77777777" w:rsidR="006D1651" w:rsidRDefault="0025655F">
      <w:pPr>
        <w:spacing w:after="0" w:line="259" w:lineRule="auto"/>
        <w:ind w:left="0" w:firstLine="0"/>
      </w:pPr>
      <w:r>
        <w:t xml:space="preserve"> </w:t>
      </w:r>
    </w:p>
    <w:p w14:paraId="6120E241" w14:textId="77777777" w:rsidR="006D1651" w:rsidRDefault="0025655F">
      <w:pPr>
        <w:ind w:left="-5"/>
      </w:pPr>
      <w:r>
        <w:t>Guided Reading: a strategy for teaching reading where a small group of students with similar reading strategi</w:t>
      </w:r>
      <w:r>
        <w:t xml:space="preserve">es is grouped together and works on strategy-related reading skills using leveled texts. </w:t>
      </w:r>
    </w:p>
    <w:p w14:paraId="4594D1AC" w14:textId="77777777" w:rsidR="006D1651" w:rsidRDefault="0025655F">
      <w:pPr>
        <w:spacing w:after="0" w:line="259" w:lineRule="auto"/>
        <w:ind w:left="0" w:firstLine="0"/>
      </w:pPr>
      <w:r>
        <w:t xml:space="preserve"> </w:t>
      </w:r>
    </w:p>
    <w:p w14:paraId="793C8933" w14:textId="77777777" w:rsidR="006D1651" w:rsidRDefault="0025655F">
      <w:pPr>
        <w:ind w:left="-5"/>
      </w:pPr>
      <w:r>
        <w:t>High Frequency Words: these are the words that appear most often in real reading texts.  Thanks to Drs. Dolch and Frye, we have age-level lists of these words begin</w:t>
      </w:r>
      <w:r>
        <w:t xml:space="preserve">ning from the simplest in Kindergarten through upper grades of school. (Often an overlap with sight words) </w:t>
      </w:r>
    </w:p>
    <w:p w14:paraId="226861F0" w14:textId="77777777" w:rsidR="006D1651" w:rsidRDefault="0025655F">
      <w:pPr>
        <w:spacing w:after="89" w:line="259" w:lineRule="auto"/>
        <w:ind w:left="0" w:firstLine="0"/>
      </w:pPr>
      <w:r>
        <w:t xml:space="preserve"> </w:t>
      </w:r>
    </w:p>
    <w:p w14:paraId="19820A22" w14:textId="77777777" w:rsidR="006D1651" w:rsidRDefault="0025655F">
      <w:pPr>
        <w:spacing w:after="41"/>
        <w:ind w:left="-5"/>
      </w:pPr>
      <w:r>
        <w:t>Phonological Awareness:</w:t>
      </w:r>
      <w:r>
        <w:rPr>
          <w:rFonts w:ascii="Times New Roman" w:eastAsia="Times New Roman" w:hAnsi="Times New Roman" w:cs="Times New Roman"/>
          <w:sz w:val="31"/>
        </w:rPr>
        <w:t xml:space="preserve"> </w:t>
      </w:r>
      <w:r>
        <w:t>the ability to hear, identify and manipulate sound units in words</w:t>
      </w:r>
      <w:r>
        <w:rPr>
          <w:rFonts w:ascii="Times New Roman" w:eastAsia="Times New Roman" w:hAnsi="Times New Roman" w:cs="Times New Roman"/>
          <w:sz w:val="28"/>
        </w:rPr>
        <w:t xml:space="preserve">.   </w:t>
      </w:r>
      <w:r>
        <w:t>It is one component of a comprehensive reading progra</w:t>
      </w:r>
      <w:r>
        <w:t xml:space="preserve">m, and it is the precursor to solid literacy development.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14:paraId="2CCB7AF1" w14:textId="77777777" w:rsidR="006D1651" w:rsidRDefault="0025655F">
      <w:pPr>
        <w:spacing w:after="0" w:line="259" w:lineRule="auto"/>
        <w:ind w:left="0" w:firstLine="0"/>
      </w:pPr>
      <w:r>
        <w:t xml:space="preserve"> </w:t>
      </w:r>
    </w:p>
    <w:p w14:paraId="1538390F" w14:textId="77777777" w:rsidR="006D1651" w:rsidRDefault="0025655F">
      <w:pPr>
        <w:ind w:left="-5"/>
      </w:pPr>
      <w:r>
        <w:t xml:space="preserve">Phonemic Awareness: one component of phonological awareness. It is the ability to hear, identify, and manipulate the individual </w:t>
      </w:r>
      <w:r>
        <w:rPr>
          <w:i/>
        </w:rPr>
        <w:t xml:space="preserve">sounds </w:t>
      </w:r>
      <w:r>
        <w:t>in spoken words.  It is one element of Phonological Aware</w:t>
      </w:r>
      <w:r>
        <w:t xml:space="preserve">ness. Once children understand that language is made up of words, they can learn that those words are made up of different sounds. </w:t>
      </w:r>
    </w:p>
    <w:p w14:paraId="28F1AF32" w14:textId="77777777" w:rsidR="006D1651" w:rsidRDefault="0025655F">
      <w:pPr>
        <w:spacing w:after="0" w:line="259" w:lineRule="auto"/>
        <w:ind w:left="0" w:firstLine="0"/>
      </w:pPr>
      <w:r>
        <w:t xml:space="preserve"> </w:t>
      </w:r>
    </w:p>
    <w:p w14:paraId="5ADAD439" w14:textId="77777777" w:rsidR="006D1651" w:rsidRDefault="0025655F">
      <w:pPr>
        <w:ind w:left="-5"/>
      </w:pPr>
      <w:r>
        <w:t xml:space="preserve">Phonics: </w:t>
      </w:r>
      <w:r>
        <w:t>an approach to teaching word identification that emphasizes letter-sound correspondences and their applications to reading and spelling, the goal of which is to help children learn and use the alphabetic principle--the understanding that there are systemat</w:t>
      </w:r>
      <w:r>
        <w:t xml:space="preserve">ic and predictable relationships between written letters and spoken sounds.   Instruction should be systematic and explicit and last for two years.  No worksheets! </w:t>
      </w:r>
    </w:p>
    <w:p w14:paraId="180C7E5A" w14:textId="77777777" w:rsidR="006D1651" w:rsidRDefault="0025655F">
      <w:pPr>
        <w:spacing w:after="0" w:line="259" w:lineRule="auto"/>
        <w:ind w:left="0" w:firstLine="0"/>
      </w:pPr>
      <w:r>
        <w:t xml:space="preserve">  </w:t>
      </w:r>
    </w:p>
    <w:p w14:paraId="32580EE6" w14:textId="77777777" w:rsidR="006D1651" w:rsidRDefault="0025655F">
      <w:pPr>
        <w:ind w:left="-5"/>
      </w:pPr>
      <w:r>
        <w:t>Sight Words: are words that do not often follow phonics rules so emerging readers should</w:t>
      </w:r>
      <w:r>
        <w:t xml:space="preserve"> learn them “by sight” in order to read them quickly and correctly. (Often an overlap with high frequency words) </w:t>
      </w:r>
    </w:p>
    <w:p w14:paraId="77405CFA" w14:textId="77777777" w:rsidR="006D1651" w:rsidRDefault="0025655F">
      <w:pPr>
        <w:spacing w:after="0" w:line="259" w:lineRule="auto"/>
        <w:ind w:left="0" w:firstLine="0"/>
      </w:pPr>
      <w:r>
        <w:t xml:space="preserve"> </w:t>
      </w:r>
    </w:p>
    <w:p w14:paraId="7B3BD156" w14:textId="77777777" w:rsidR="006D1651" w:rsidRDefault="0025655F">
      <w:pPr>
        <w:ind w:left="-5"/>
      </w:pPr>
      <w:r>
        <w:t>Vocabulary: a term describing the words one must know in order to communicate with others, both orally and through print.  Generally, four t</w:t>
      </w:r>
      <w:r>
        <w:t xml:space="preserve">ypes of vocabulary exist: listening, speaking, reading, and writing vocabulary.   </w:t>
      </w:r>
    </w:p>
    <w:p w14:paraId="40DACD73" w14:textId="77777777" w:rsidR="006D1651" w:rsidRDefault="0025655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55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82"/>
        <w:gridCol w:w="4276"/>
      </w:tblGrid>
      <w:tr w:rsidR="006D1651" w14:paraId="6F2509A7" w14:textId="77777777">
        <w:trPr>
          <w:trHeight w:val="827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14:paraId="25087C56" w14:textId="77777777" w:rsidR="006D1651" w:rsidRDefault="0025655F">
            <w:pPr>
              <w:spacing w:after="0" w:line="236" w:lineRule="auto"/>
              <w:ind w:left="0" w:firstLine="0"/>
            </w:pPr>
            <w:r>
              <w:rPr>
                <w:sz w:val="18"/>
              </w:rPr>
              <w:lastRenderedPageBreak/>
              <w:t xml:space="preserve">For more information, see National Institute for Literacy site: </w:t>
            </w:r>
            <w:hyperlink r:id="rId5">
              <w:r>
                <w:rPr>
                  <w:color w:val="0000FF"/>
                  <w:sz w:val="18"/>
                  <w:u w:val="single" w:color="0000FF"/>
                </w:rPr>
                <w:t>http://www.nifl.gov/</w:t>
              </w:r>
            </w:hyperlink>
            <w:hyperlink r:id="rId6">
              <w:r>
                <w:rPr>
                  <w:sz w:val="18"/>
                </w:rPr>
                <w:t xml:space="preserve"> </w:t>
              </w:r>
            </w:hyperlink>
          </w:p>
          <w:p w14:paraId="5196B4A0" w14:textId="77777777" w:rsidR="006D1651" w:rsidRDefault="0025655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14:paraId="1D9C3F9C" w14:textId="77777777" w:rsidR="006D1651" w:rsidRDefault="0025655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Nat</w:t>
            </w:r>
            <w:r>
              <w:rPr>
                <w:sz w:val="18"/>
              </w:rPr>
              <w:t xml:space="preserve">ional Council of Teachers of English 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</w:tcPr>
          <w:p w14:paraId="0E410337" w14:textId="77777777" w:rsidR="006D1651" w:rsidRDefault="0025655F">
            <w:pPr>
              <w:spacing w:after="0" w:line="259" w:lineRule="auto"/>
              <w:ind w:left="480" w:right="56" w:firstLine="0"/>
              <w:jc w:val="both"/>
            </w:pPr>
            <w:r>
              <w:rPr>
                <w:sz w:val="18"/>
              </w:rPr>
              <w:t xml:space="preserve">Other incredible sites that are worth checking out: Read, Write, Think   (NCTE, IRA) </w:t>
            </w:r>
            <w:hyperlink r:id="rId7">
              <w:r>
                <w:rPr>
                  <w:color w:val="0000FF"/>
                  <w:sz w:val="18"/>
                  <w:u w:val="single" w:color="0000FF"/>
                </w:rPr>
                <w:t>http://www.readwritethink.org/index.asp</w:t>
              </w:r>
            </w:hyperlink>
            <w:hyperlink r:id="rId8">
              <w:r>
                <w:rPr>
                  <w:sz w:val="18"/>
                </w:rPr>
                <w:t xml:space="preserve"> </w:t>
              </w:r>
            </w:hyperlink>
          </w:p>
        </w:tc>
      </w:tr>
    </w:tbl>
    <w:p w14:paraId="7AF0401A" w14:textId="77777777" w:rsidR="006D1651" w:rsidRDefault="0025655F">
      <w:pPr>
        <w:spacing w:after="9" w:line="248" w:lineRule="auto"/>
        <w:ind w:left="-5" w:right="491"/>
      </w:pPr>
      <w:hyperlink r:id="rId9">
        <w:r>
          <w:rPr>
            <w:color w:val="0000FF"/>
            <w:sz w:val="18"/>
            <w:u w:val="single" w:color="0000FF"/>
          </w:rPr>
          <w:t>http://www.ncte.org/</w:t>
        </w:r>
      </w:hyperlink>
      <w:hyperlink r:id="rId10">
        <w:r>
          <w:rPr>
            <w:sz w:val="18"/>
          </w:rPr>
          <w:t xml:space="preserve"> </w:t>
        </w:r>
      </w:hyperlink>
    </w:p>
    <w:p w14:paraId="6DD83023" w14:textId="77777777" w:rsidR="006D1651" w:rsidRDefault="0025655F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14:paraId="19BB90F3" w14:textId="77777777" w:rsidR="006D1651" w:rsidRDefault="0025655F">
      <w:pPr>
        <w:spacing w:after="171" w:line="248" w:lineRule="auto"/>
        <w:ind w:left="-5" w:right="491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A23C55A" wp14:editId="49571251">
            <wp:simplePos x="0" y="0"/>
            <wp:positionH relativeFrom="column">
              <wp:posOffset>5905500</wp:posOffset>
            </wp:positionH>
            <wp:positionV relativeFrom="paragraph">
              <wp:posOffset>-4598</wp:posOffset>
            </wp:positionV>
            <wp:extent cx="585470" cy="578485"/>
            <wp:effectExtent l="0" t="0" r="0" b="0"/>
            <wp:wrapSquare wrapText="bothSides"/>
            <wp:docPr id="92" name="Picture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Reading A-Z </w:t>
      </w:r>
      <w:hyperlink r:id="rId12">
        <w:r>
          <w:rPr>
            <w:color w:val="0000FF"/>
            <w:sz w:val="18"/>
            <w:u w:val="single" w:color="0000FF"/>
          </w:rPr>
          <w:t>http://www.readinga</w:t>
        </w:r>
      </w:hyperlink>
      <w:hyperlink r:id="rId13">
        <w:r>
          <w:rPr>
            <w:color w:val="0000FF"/>
            <w:sz w:val="18"/>
            <w:u w:val="single" w:color="0000FF"/>
          </w:rPr>
          <w:t>-</w:t>
        </w:r>
      </w:hyperlink>
      <w:hyperlink r:id="rId14">
        <w:r>
          <w:rPr>
            <w:color w:val="0000FF"/>
            <w:sz w:val="18"/>
            <w:u w:val="single" w:color="0000FF"/>
          </w:rPr>
          <w:t>z.com/</w:t>
        </w:r>
      </w:hyperlink>
      <w:hyperlink r:id="rId15">
        <w:r>
          <w:rPr>
            <w:sz w:val="18"/>
          </w:rPr>
          <w:t xml:space="preserve"> </w:t>
        </w:r>
      </w:hyperlink>
    </w:p>
    <w:p w14:paraId="4BB472D9" w14:textId="77777777" w:rsidR="006D1651" w:rsidRDefault="0025655F">
      <w:pPr>
        <w:spacing w:after="4" w:line="259" w:lineRule="auto"/>
        <w:ind w:left="720" w:right="491" w:firstLine="0"/>
      </w:pPr>
      <w:r>
        <w:rPr>
          <w:sz w:val="20"/>
        </w:rPr>
        <w:t xml:space="preserve">another resource from </w:t>
      </w:r>
      <w:r>
        <w:rPr>
          <w:color w:val="0000FF"/>
          <w:sz w:val="20"/>
          <w:u w:val="single" w:color="0000FF"/>
        </w:rPr>
        <w:t>http://www.teachmama.com</w:t>
      </w:r>
      <w:r>
        <w:rPr>
          <w:sz w:val="20"/>
        </w:rPr>
        <w:t xml:space="preserve"> to help our little ones learn while they play. . .  </w:t>
      </w:r>
    </w:p>
    <w:p w14:paraId="64A6CDFD" w14:textId="77777777" w:rsidR="006D1651" w:rsidRDefault="0025655F">
      <w:pPr>
        <w:spacing w:after="0" w:line="259" w:lineRule="auto"/>
        <w:ind w:left="0" w:right="491" w:firstLine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6D1651">
      <w:pgSz w:w="12240" w:h="15840"/>
      <w:pgMar w:top="1440" w:right="807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51"/>
    <w:rsid w:val="0025655F"/>
    <w:rsid w:val="006D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4B6BBF"/>
  <w15:docId w15:val="{CD5477B9-9B48-6547-973C-F3D0F88B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34" w:lineRule="auto"/>
      <w:ind w:left="10" w:hanging="10"/>
    </w:pPr>
    <w:rPr>
      <w:rFonts w:ascii="Calibri" w:eastAsia="Calibri" w:hAnsi="Calibri" w:cs="Calibri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writethink.org/index.asp" TargetMode="External"/><Relationship Id="rId13" Type="http://schemas.openxmlformats.org/officeDocument/2006/relationships/hyperlink" Target="http://www.readinga-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adwritethink.org/index.asp" TargetMode="External"/><Relationship Id="rId12" Type="http://schemas.openxmlformats.org/officeDocument/2006/relationships/hyperlink" Target="http://www.readinga-z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nifl.gov/" TargetMode="External"/><Relationship Id="rId11" Type="http://schemas.openxmlformats.org/officeDocument/2006/relationships/image" Target="media/image2.jpg"/><Relationship Id="rId5" Type="http://schemas.openxmlformats.org/officeDocument/2006/relationships/hyperlink" Target="http://www.nifl.gov/" TargetMode="External"/><Relationship Id="rId15" Type="http://schemas.openxmlformats.org/officeDocument/2006/relationships/hyperlink" Target="http://www.readinga-z.com/" TargetMode="External"/><Relationship Id="rId10" Type="http://schemas.openxmlformats.org/officeDocument/2006/relationships/hyperlink" Target="http://www.ncte.org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ncte.org/" TargetMode="External"/><Relationship Id="rId14" Type="http://schemas.openxmlformats.org/officeDocument/2006/relationships/hyperlink" Target="http://www.readinga-z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</dc:title>
  <dc:subject/>
  <dc:creator>Thomas Mascott</dc:creator>
  <cp:keywords/>
  <cp:lastModifiedBy>Stolzenberg Harriet</cp:lastModifiedBy>
  <cp:revision>2</cp:revision>
  <dcterms:created xsi:type="dcterms:W3CDTF">2020-01-16T16:51:00Z</dcterms:created>
  <dcterms:modified xsi:type="dcterms:W3CDTF">2020-01-16T16:51:00Z</dcterms:modified>
</cp:coreProperties>
</file>