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06" w:rsidRDefault="00533979">
      <w:pPr>
        <w:jc w:val="center"/>
        <w:rPr>
          <w:rFonts w:ascii="Cambria" w:eastAsia="Cambria" w:hAnsi="Cambria" w:cs="Cambria"/>
          <w:b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2"/>
          <w:szCs w:val="22"/>
        </w:rPr>
        <w:t>BCAM Course Overview: 2020-2021</w:t>
      </w:r>
    </w:p>
    <w:p w:rsidR="00BF3C06" w:rsidRDefault="00533979">
      <w:pPr>
        <w:pStyle w:val="Heading2"/>
        <w:keepNext w:val="0"/>
        <w:spacing w:before="360" w:after="80"/>
        <w:rPr>
          <w:rFonts w:ascii="Cambria" w:eastAsia="Cambria" w:hAnsi="Cambria" w:cs="Cambria"/>
          <w:sz w:val="22"/>
          <w:szCs w:val="22"/>
        </w:rPr>
      </w:pPr>
      <w:bookmarkStart w:id="1" w:name="_b8u5hu2qq4rd" w:colFirst="0" w:colLast="0"/>
      <w:bookmarkEnd w:id="1"/>
      <w:r>
        <w:rPr>
          <w:rFonts w:ascii="Cambria" w:eastAsia="Cambria" w:hAnsi="Cambria" w:cs="Cambria"/>
          <w:sz w:val="22"/>
          <w:szCs w:val="22"/>
        </w:rPr>
        <w:t xml:space="preserve">Course Title:   U.S. History  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Grade</w:t>
      </w:r>
      <w:proofErr w:type="gramStart"/>
      <w:r>
        <w:rPr>
          <w:rFonts w:ascii="Cambria" w:eastAsia="Cambria" w:hAnsi="Cambria" w:cs="Cambria"/>
          <w:sz w:val="22"/>
          <w:szCs w:val="22"/>
        </w:rPr>
        <w:t>:</w:t>
      </w:r>
      <w:r>
        <w:rPr>
          <w:rFonts w:ascii="Cambria" w:eastAsia="Cambria" w:hAnsi="Cambria" w:cs="Cambria"/>
          <w:b w:val="0"/>
          <w:sz w:val="22"/>
          <w:szCs w:val="22"/>
        </w:rPr>
        <w:t>_</w:t>
      </w:r>
      <w:proofErr w:type="gramEnd"/>
      <w:r>
        <w:rPr>
          <w:rFonts w:ascii="Cambria" w:eastAsia="Cambria" w:hAnsi="Cambria" w:cs="Cambria"/>
          <w:b w:val="0"/>
          <w:sz w:val="22"/>
          <w:szCs w:val="22"/>
        </w:rPr>
        <w:t xml:space="preserve">11___ </w:t>
      </w: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</w:t>
      </w:r>
    </w:p>
    <w:p w:rsidR="00BF3C06" w:rsidRDefault="00533979">
      <w:pPr>
        <w:pStyle w:val="Heading2"/>
        <w:keepNext w:val="0"/>
        <w:spacing w:before="360" w:after="80"/>
        <w:rPr>
          <w:rFonts w:ascii="Cambria" w:eastAsia="Cambria" w:hAnsi="Cambria" w:cs="Cambria"/>
          <w:sz w:val="22"/>
          <w:szCs w:val="22"/>
        </w:rPr>
      </w:pPr>
      <w:bookmarkStart w:id="2" w:name="_yzipoglf6i9t" w:colFirst="0" w:colLast="0"/>
      <w:bookmarkEnd w:id="2"/>
      <w:r>
        <w:rPr>
          <w:rFonts w:ascii="Cambria" w:eastAsia="Cambria" w:hAnsi="Cambria" w:cs="Cambria"/>
          <w:sz w:val="22"/>
          <w:szCs w:val="22"/>
        </w:rPr>
        <w:t xml:space="preserve">Teacher(s): Luke Russo and Melissa </w:t>
      </w:r>
      <w:proofErr w:type="spellStart"/>
      <w:r>
        <w:rPr>
          <w:rFonts w:ascii="Cambria" w:eastAsia="Cambria" w:hAnsi="Cambria" w:cs="Cambria"/>
          <w:sz w:val="22"/>
          <w:szCs w:val="22"/>
        </w:rPr>
        <w:t>Jaishwar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      </w:t>
      </w:r>
    </w:p>
    <w:p w:rsidR="00BF3C06" w:rsidRDefault="00533979">
      <w:pP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Teacher(s) BCAM Email(s):</w:t>
      </w:r>
    </w:p>
    <w:p w:rsidR="00BF3C06" w:rsidRDefault="00533979">
      <w:pPr>
        <w:rPr>
          <w:rFonts w:ascii="Cambria" w:eastAsia="Cambria" w:hAnsi="Cambria" w:cs="Cambria"/>
          <w:b/>
          <w:sz w:val="22"/>
          <w:szCs w:val="22"/>
        </w:rPr>
      </w:pPr>
      <w:hyperlink r:id="rId7">
        <w:r>
          <w:rPr>
            <w:rFonts w:ascii="Cambria" w:eastAsia="Cambria" w:hAnsi="Cambria" w:cs="Cambria"/>
            <w:b/>
            <w:color w:val="1155CC"/>
            <w:sz w:val="22"/>
            <w:szCs w:val="22"/>
            <w:u w:val="single"/>
          </w:rPr>
          <w:t>lrusso@bcamhs.org</w:t>
        </w:r>
      </w:hyperlink>
      <w:r>
        <w:rPr>
          <w:rFonts w:ascii="Cambria" w:eastAsia="Cambria" w:hAnsi="Cambria" w:cs="Cambria"/>
          <w:b/>
          <w:sz w:val="22"/>
          <w:szCs w:val="22"/>
        </w:rPr>
        <w:t xml:space="preserve"> /</w:t>
      </w:r>
      <w:hyperlink r:id="rId8">
        <w:r>
          <w:rPr>
            <w:rFonts w:ascii="Cambria" w:eastAsia="Cambria" w:hAnsi="Cambria" w:cs="Cambria"/>
            <w:b/>
            <w:color w:val="1155CC"/>
            <w:sz w:val="22"/>
            <w:szCs w:val="22"/>
            <w:u w:val="single"/>
          </w:rPr>
          <w:t>lrusso16@schools.nyc.gov</w:t>
        </w:r>
      </w:hyperlink>
    </w:p>
    <w:p w:rsidR="00BF3C06" w:rsidRDefault="00533979">
      <w:pPr>
        <w:rPr>
          <w:rFonts w:ascii="Cambria" w:eastAsia="Cambria" w:hAnsi="Cambria" w:cs="Cambria"/>
          <w:b/>
          <w:sz w:val="22"/>
          <w:szCs w:val="22"/>
        </w:rPr>
      </w:pPr>
      <w:hyperlink r:id="rId9">
        <w:r>
          <w:rPr>
            <w:rFonts w:ascii="Cambria" w:eastAsia="Cambria" w:hAnsi="Cambria" w:cs="Cambria"/>
            <w:b/>
            <w:color w:val="1155CC"/>
            <w:sz w:val="22"/>
            <w:szCs w:val="22"/>
            <w:u w:val="single"/>
          </w:rPr>
          <w:t>mjaishwar@bcamhs.org</w:t>
        </w:r>
      </w:hyperlink>
      <w:r>
        <w:rPr>
          <w:rFonts w:ascii="Cambria" w:eastAsia="Cambria" w:hAnsi="Cambria" w:cs="Cambria"/>
          <w:b/>
          <w:sz w:val="22"/>
          <w:szCs w:val="22"/>
        </w:rPr>
        <w:t xml:space="preserve"> /</w:t>
      </w:r>
      <w:hyperlink r:id="rId10">
        <w:r>
          <w:rPr>
            <w:rFonts w:ascii="Cambria" w:eastAsia="Cambria" w:hAnsi="Cambria" w:cs="Cambria"/>
            <w:b/>
            <w:color w:val="1155CC"/>
            <w:sz w:val="22"/>
            <w:szCs w:val="22"/>
            <w:u w:val="single"/>
          </w:rPr>
          <w:t>mjaishwar@schools.nyc.gov</w:t>
        </w:r>
      </w:hyperlink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BF3C06" w:rsidRDefault="00BF3C06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"/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0"/>
      </w:tblGrid>
      <w:tr w:rsidR="00BF3C06">
        <w:tc>
          <w:tcPr>
            <w:tcW w:w="10590" w:type="dxa"/>
            <w:shd w:val="clear" w:color="auto" w:fill="D9D9D9"/>
          </w:tcPr>
          <w:p w:rsidR="00BF3C06" w:rsidRDefault="00533979">
            <w:pPr>
              <w:jc w:val="both"/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COURSE DESCRIPTION: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This is an overview of the course.  The course should be committed to the following culturally relevant, empowering, and coherence-driven tenets: </w:t>
            </w:r>
          </w:p>
          <w:p w:rsidR="00BF3C06" w:rsidRDefault="00533979">
            <w:pPr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-has students learn valuable and engaging ideas about themselves and about others. (Identity)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</w:t>
            </w:r>
          </w:p>
          <w:p w:rsidR="00BF3C06" w:rsidRDefault="00533979">
            <w:pPr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-covers skills/standards that support college/career preparation, creative, and personal development. (Skills) </w:t>
            </w:r>
          </w:p>
          <w:p w:rsidR="00BF3C06" w:rsidRDefault="00533979">
            <w:pPr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-has students become smarter about academic chall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enges, their lives, and the world around them. (Intellect) </w:t>
            </w:r>
          </w:p>
          <w:p w:rsidR="00BF3C06" w:rsidRDefault="00533979">
            <w:pPr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-engages students about power, discrimination &amp; oppression personally, locally, and nationally/globally (Criticality)</w:t>
            </w:r>
          </w:p>
          <w:p w:rsidR="00BF3C06" w:rsidRDefault="00533979">
            <w:pPr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-allows for access, success and support both in-school and remotely (Coherent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Methodology)</w:t>
            </w:r>
          </w:p>
          <w:p w:rsidR="00BF3C06" w:rsidRDefault="00533979">
            <w:pPr>
              <w:jc w:val="both"/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-allows for success and support collaboratively and independently (Diverse Platforms &amp; Methodology)</w:t>
            </w:r>
          </w:p>
        </w:tc>
      </w:tr>
      <w:tr w:rsidR="00BF3C06">
        <w:tc>
          <w:tcPr>
            <w:tcW w:w="10590" w:type="dxa"/>
            <w:tcBorders>
              <w:bottom w:val="single" w:sz="4" w:space="0" w:color="000000"/>
            </w:tcBorders>
          </w:tcPr>
          <w:p w:rsidR="00BF3C06" w:rsidRDefault="00BF3C06">
            <w:pPr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The United States History course begins with an introductory unit that re-engages students with key social studies skills that will be develo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ped throughout the course. The course then follows a historical timeline of the United States, starting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with  the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colonial and constitutional foundations of the United States. The course explores the government structure and functions written in the Consti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tution including which groups were considered and which were excluded. The course also examines the Constitution as a living document, and its use as a means of inclusion throughout time.  The development of the nation and the political, social, and econom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ic factors that led to the challenges our nation faced in the Civil War are addressed. Industrialization, urbanization, and the accompanying problems are examined, along with America’s emergence as a world power, the two world wars of the 20th century, and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the Cold War. Students explore the expansion of the federal government, the threat of terrorism, and the place of the United States in an increasingly globalized and interconnected world. </w:t>
            </w: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Throughout the course, students will engage in learning and discourse centered 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around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their rich and diverse cultures, languages, and life experiences to foster their understanding of how social, political, economic and geographic factors have shaped socie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ty, specifically the communities they belong to. This unit will take an in-depth look at the history of marginalized groups in the United States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,  how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these groups have overcome obstacles and what challenges they continue to face today.</w:t>
            </w: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Developing and str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engthening literacy skills in vocabulary, reading and writing is a key component of this course. Students will have multiple exposures to plan, write, and revise writing assignments based on historical texts, events, and people. A key focus will be placed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on thesis development, argumentative writing and  free response/DBQ essays </w:t>
            </w:r>
          </w:p>
          <w:p w:rsidR="00BF3C06" w:rsidRDefault="00BF3C06">
            <w:pPr>
              <w:rPr>
                <w:rFonts w:ascii="Cambria" w:eastAsia="Cambria" w:hAnsi="Cambria" w:cs="Cambria"/>
                <w:smallCaps/>
                <w:sz w:val="22"/>
                <w:szCs w:val="22"/>
              </w:rPr>
            </w:pPr>
          </w:p>
        </w:tc>
      </w:tr>
      <w:tr w:rsidR="00BF3C06">
        <w:tc>
          <w:tcPr>
            <w:tcW w:w="10590" w:type="dxa"/>
            <w:shd w:val="clear" w:color="auto" w:fill="D9D9D9"/>
          </w:tcPr>
          <w:p w:rsidR="00BF3C06" w:rsidRDefault="00533979">
            <w:pPr>
              <w:jc w:val="both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bookmarkStart w:id="3" w:name="_gjdgxs" w:colFirst="0" w:colLast="0"/>
            <w:bookmarkEnd w:id="3"/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ENDURING UNDERSTANDINGS/QUESTIONS: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Please state the most important ideas and/or questions for the course.  Please name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valuable and empowering ideas about themselves and about o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 xml:space="preserve">thers. (Identity) Critical and valuable ideas about power, discrimination, oppression and authority in the material, in their lives, and in communities and the world. (Criticality) </w:t>
            </w:r>
          </w:p>
        </w:tc>
      </w:tr>
      <w:tr w:rsidR="00BF3C06">
        <w:tc>
          <w:tcPr>
            <w:tcW w:w="10590" w:type="dxa"/>
          </w:tcPr>
          <w:p w:rsidR="00BF3C06" w:rsidRDefault="00BF3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</w:p>
          <w:tbl>
            <w:tblPr>
              <w:tblStyle w:val="a0"/>
              <w:tblW w:w="10374" w:type="dxa"/>
              <w:tblBorders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74"/>
            </w:tblGrid>
            <w:tr w:rsidR="00BF3C06">
              <w:tc>
                <w:tcPr>
                  <w:tcW w:w="10374" w:type="dxa"/>
                  <w:tcBorders>
                    <w:top w:val="nil"/>
                    <w:bottom w:val="nil"/>
                  </w:tcBorders>
                </w:tcPr>
                <w:p w:rsidR="00BF3C06" w:rsidRDefault="00533979">
                  <w:pPr>
                    <w:numPr>
                      <w:ilvl w:val="0"/>
                      <w:numId w:val="8"/>
                    </w:num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Democracies build upon the ideas of individualism and reform.</w:t>
                  </w:r>
                </w:p>
              </w:tc>
            </w:tr>
            <w:tr w:rsidR="00BF3C06">
              <w:tc>
                <w:tcPr>
                  <w:tcW w:w="10374" w:type="dxa"/>
                  <w:tcBorders>
                    <w:top w:val="nil"/>
                    <w:bottom w:val="nil"/>
                  </w:tcBorders>
                </w:tcPr>
                <w:p w:rsidR="00BF3C06" w:rsidRDefault="00533979">
                  <w:pPr>
                    <w:numPr>
                      <w:ilvl w:val="0"/>
                      <w:numId w:val="8"/>
                    </w:numPr>
                    <w:rPr>
                      <w:rFonts w:ascii="Cambria" w:eastAsia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Various groups have fought and protested, violently and peacefully over time, to gain greater power or equality in the United States. Some have been successful and some have failed.</w:t>
                  </w:r>
                </w:p>
              </w:tc>
            </w:tr>
            <w:tr w:rsidR="00BF3C06">
              <w:tc>
                <w:tcPr>
                  <w:tcW w:w="10374" w:type="dxa"/>
                  <w:tcBorders>
                    <w:top w:val="nil"/>
                    <w:bottom w:val="nil"/>
                  </w:tcBorders>
                </w:tcPr>
                <w:p w:rsidR="00BF3C06" w:rsidRDefault="00533979">
                  <w:pPr>
                    <w:numPr>
                      <w:ilvl w:val="0"/>
                      <w:numId w:val="8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The movement of people, ideas, and goods has a profound influence on a society.</w:t>
                  </w:r>
                </w:p>
              </w:tc>
            </w:tr>
            <w:tr w:rsidR="00BF3C06">
              <w:tc>
                <w:tcPr>
                  <w:tcW w:w="10374" w:type="dxa"/>
                  <w:tcBorders>
                    <w:top w:val="nil"/>
                    <w:bottom w:val="nil"/>
                  </w:tcBorders>
                </w:tcPr>
                <w:p w:rsidR="00BF3C06" w:rsidRDefault="00533979">
                  <w:pPr>
                    <w:numPr>
                      <w:ilvl w:val="0"/>
                      <w:numId w:val="8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lastRenderedPageBreak/>
                    <w:t>Ideas and interests that are in direct conflict with existing governments may cause revolutions.</w:t>
                  </w:r>
                </w:p>
              </w:tc>
            </w:tr>
            <w:tr w:rsidR="00BF3C06">
              <w:trPr>
                <w:trHeight w:val="359"/>
              </w:trPr>
              <w:tc>
                <w:tcPr>
                  <w:tcW w:w="10374" w:type="dxa"/>
                  <w:tcBorders>
                    <w:top w:val="nil"/>
                    <w:bottom w:val="nil"/>
                  </w:tcBorders>
                </w:tcPr>
                <w:p w:rsidR="00BF3C06" w:rsidRDefault="00533979">
                  <w:pPr>
                    <w:numPr>
                      <w:ilvl w:val="0"/>
                      <w:numId w:val="8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The philosophical principles of American democracy were laid with the Declara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tion of Independence, the United States Constitution, and the Bill of Rights.</w:t>
                  </w:r>
                </w:p>
              </w:tc>
            </w:tr>
            <w:tr w:rsidR="00BF3C06">
              <w:trPr>
                <w:trHeight w:val="359"/>
              </w:trPr>
              <w:tc>
                <w:tcPr>
                  <w:tcW w:w="10374" w:type="dxa"/>
                  <w:tcBorders>
                    <w:top w:val="nil"/>
                  </w:tcBorders>
                </w:tcPr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Fighting a war comes at a great cost but can lead to economic benefit for a country</w:t>
                  </w:r>
                </w:p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Territorial and economic growth cause change in politics and society.</w:t>
                  </w:r>
                </w:p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Changes in the economy often bring about social and political changes.</w:t>
                  </w:r>
                </w:p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A nation’s foreign policy changes to ensure that the nation’s interests are protected and advanced</w:t>
                  </w:r>
                </w:p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Foreign and domestic revolutions have wide-ranging and long-term effects.</w:t>
                  </w:r>
                </w:p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Economic dep</w:t>
                  </w: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ressions have many causes and multiple effects.</w:t>
                  </w:r>
                </w:p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Government plays a role in mandating political and social change.</w:t>
                  </w:r>
                </w:p>
                <w:p w:rsidR="00BF3C06" w:rsidRDefault="00533979">
                  <w:pPr>
                    <w:numPr>
                      <w:ilvl w:val="0"/>
                      <w:numId w:val="6"/>
                    </w:numPr>
                    <w:rPr>
                      <w:rFonts w:ascii="Cambria" w:eastAsia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eastAsia="Cambria" w:hAnsi="Cambria" w:cs="Cambria"/>
                      <w:sz w:val="22"/>
                      <w:szCs w:val="22"/>
                    </w:rPr>
                    <w:t>National politics is often defined in terms of ideology.</w:t>
                  </w:r>
                </w:p>
              </w:tc>
            </w:tr>
          </w:tbl>
          <w:p w:rsidR="00BF3C06" w:rsidRDefault="00BF3C06">
            <w:pPr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</w:tbl>
    <w:p w:rsidR="00BF3C06" w:rsidRDefault="00BF3C06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1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0"/>
      </w:tblGrid>
      <w:tr w:rsidR="00BF3C06">
        <w:tc>
          <w:tcPr>
            <w:tcW w:w="10610" w:type="dxa"/>
            <w:shd w:val="clear" w:color="auto" w:fill="D9D9D9"/>
          </w:tcPr>
          <w:p w:rsidR="00BF3C06" w:rsidRDefault="00533979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SPECIFIC ACADEMIC SKILLS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These are the most important skills for the course, including: those 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that support college/career preparation, creative, and personal development (Skills); and those that help students become smarter about academic challenges, their lives, and the world aro</w:t>
            </w:r>
            <w:r>
              <w:rPr>
                <w:rFonts w:ascii="Cambria" w:eastAsia="Cambria" w:hAnsi="Cambria" w:cs="Cambria"/>
                <w:i/>
                <w:color w:val="000000"/>
                <w:sz w:val="22"/>
                <w:szCs w:val="22"/>
              </w:rPr>
              <w:t>und them. (Intellect)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pStyle w:val="Heading2"/>
              <w:keepNext w:val="0"/>
              <w:numPr>
                <w:ilvl w:val="0"/>
                <w:numId w:val="1"/>
              </w:numPr>
              <w:rPr>
                <w:rFonts w:ascii="Cambria" w:eastAsia="Cambria" w:hAnsi="Cambria" w:cs="Cambria"/>
                <w:b w:val="0"/>
                <w:sz w:val="22"/>
                <w:szCs w:val="22"/>
              </w:rPr>
            </w:pPr>
            <w:bookmarkStart w:id="4" w:name="_f7p0te2n76ez" w:colFirst="0" w:colLast="0"/>
            <w:bookmarkEnd w:id="4"/>
            <w:r>
              <w:rPr>
                <w:rFonts w:ascii="Cambria" w:eastAsia="Cambria" w:hAnsi="Cambria" w:cs="Cambria"/>
                <w:b w:val="0"/>
                <w:sz w:val="22"/>
                <w:szCs w:val="22"/>
              </w:rPr>
              <w:t>Gathering, Interpreting, and Using Evidence</w:t>
            </w:r>
          </w:p>
          <w:p w:rsidR="00BF3C06" w:rsidRDefault="00533979">
            <w:pPr>
              <w:pStyle w:val="Heading2"/>
              <w:keepNext w:val="0"/>
              <w:numPr>
                <w:ilvl w:val="0"/>
                <w:numId w:val="1"/>
              </w:numPr>
              <w:rPr>
                <w:rFonts w:ascii="Cambria" w:eastAsia="Cambria" w:hAnsi="Cambria" w:cs="Cambria"/>
                <w:b w:val="0"/>
                <w:sz w:val="22"/>
                <w:szCs w:val="22"/>
              </w:rPr>
            </w:pPr>
            <w:bookmarkStart w:id="5" w:name="_zt86rgm5hzc" w:colFirst="0" w:colLast="0"/>
            <w:bookmarkEnd w:id="5"/>
            <w:r>
              <w:rPr>
                <w:rFonts w:ascii="Cambria" w:eastAsia="Cambria" w:hAnsi="Cambria" w:cs="Cambria"/>
                <w:b w:val="0"/>
                <w:sz w:val="22"/>
                <w:szCs w:val="22"/>
              </w:rPr>
              <w:t>Chronological Reasoning and Causation</w:t>
            </w:r>
          </w:p>
          <w:p w:rsidR="00BF3C06" w:rsidRDefault="00533979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Comparison and Contextualization</w:t>
            </w:r>
          </w:p>
          <w:p w:rsidR="00BF3C06" w:rsidRDefault="00533979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Applying Geographic Reasoning</w:t>
            </w:r>
          </w:p>
          <w:p w:rsidR="00BF3C06" w:rsidRDefault="00533979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Understanding Economics and Economic systems</w:t>
            </w:r>
          </w:p>
          <w:p w:rsidR="00BF3C06" w:rsidRDefault="00533979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Engaging in Civic Participation</w:t>
            </w:r>
          </w:p>
          <w:p w:rsidR="00BF3C06" w:rsidRDefault="00533979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Writing Argumentative, Informative/Explanatory Texts</w:t>
            </w:r>
          </w:p>
        </w:tc>
      </w:tr>
    </w:tbl>
    <w:p w:rsidR="00BF3C06" w:rsidRDefault="00BF3C06">
      <w:pPr>
        <w:rPr>
          <w:rFonts w:ascii="Cambria" w:eastAsia="Cambria" w:hAnsi="Cambria" w:cs="Cambria"/>
          <w:b/>
          <w:smallCaps/>
          <w:sz w:val="22"/>
          <w:szCs w:val="22"/>
        </w:rPr>
      </w:pPr>
    </w:p>
    <w:tbl>
      <w:tblPr>
        <w:tblStyle w:val="a2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BF3C06">
        <w:tc>
          <w:tcPr>
            <w:tcW w:w="10610" w:type="dxa"/>
            <w:shd w:val="clear" w:color="auto" w:fill="D9D9D9"/>
          </w:tcPr>
          <w:p w:rsidR="00BF3C06" w:rsidRDefault="00533979">
            <w:pP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>CCL STANDARDS: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These are </w:t>
            </w:r>
            <w:r>
              <w:rPr>
                <w:rFonts w:ascii="Cambria" w:eastAsia="Cambria" w:hAnsi="Cambria" w:cs="Cambria"/>
                <w:i/>
                <w:sz w:val="22"/>
                <w:szCs w:val="22"/>
                <w:u w:val="single"/>
              </w:rPr>
              <w:t>the important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Common Core Learning Standards (in short form) that will drive the curriculum and connect to units of study and academic skills.  No need to list every one!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hyperlink r:id="rId11">
              <w:r>
                <w:rPr>
                  <w:rFonts w:ascii="Cambria" w:eastAsia="Cambria" w:hAnsi="Cambria" w:cs="Cambria"/>
                  <w:color w:val="373737"/>
                  <w:sz w:val="22"/>
                  <w:szCs w:val="22"/>
                </w:rPr>
                <w:t>CCSS.ELA-LITERACY.RH.11-12.1</w:t>
              </w:r>
            </w:hyperlink>
          </w:p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202020"/>
                <w:sz w:val="22"/>
                <w:szCs w:val="22"/>
              </w:rPr>
              <w:t>Cite specific textual evidence to support analysis of primary and secondary sources, connecting insights gained from specific details to an understanding of</w:t>
            </w:r>
            <w:r>
              <w:rPr>
                <w:rFonts w:ascii="Cambria" w:eastAsia="Cambria" w:hAnsi="Cambria" w:cs="Cambria"/>
                <w:color w:val="202020"/>
                <w:sz w:val="22"/>
                <w:szCs w:val="22"/>
              </w:rPr>
              <w:t xml:space="preserve"> the text as a whole.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hyperlink r:id="rId12">
              <w:r>
                <w:rPr>
                  <w:rFonts w:ascii="Cambria" w:eastAsia="Cambria" w:hAnsi="Cambria" w:cs="Cambria"/>
                  <w:color w:val="373737"/>
                  <w:sz w:val="22"/>
                  <w:szCs w:val="22"/>
                </w:rPr>
                <w:t>CCSS.ELA-LITERACY.RH.11-12.9</w:t>
              </w:r>
            </w:hyperlink>
          </w:p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202020"/>
                <w:sz w:val="22"/>
                <w:szCs w:val="22"/>
              </w:rPr>
              <w:t>Integrate information from diverse sources, both primary and secondary, into a coherent understanding of an idea or event, noting discrepancies among sources.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hyperlink r:id="rId13">
              <w:r>
                <w:rPr>
                  <w:rFonts w:ascii="Cambria" w:eastAsia="Cambria" w:hAnsi="Cambria" w:cs="Cambria"/>
                  <w:color w:val="373737"/>
                  <w:sz w:val="22"/>
                  <w:szCs w:val="22"/>
                </w:rPr>
                <w:t>CCSS.ELA-LITERACY.W</w:t>
              </w:r>
              <w:r>
                <w:rPr>
                  <w:rFonts w:ascii="Cambria" w:eastAsia="Cambria" w:hAnsi="Cambria" w:cs="Cambria"/>
                  <w:color w:val="373737"/>
                  <w:sz w:val="22"/>
                  <w:szCs w:val="22"/>
                </w:rPr>
                <w:t>HST.11-12.1.A</w:t>
              </w:r>
            </w:hyperlink>
          </w:p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202020"/>
                <w:sz w:val="22"/>
                <w:szCs w:val="22"/>
              </w:rPr>
              <w:t>Introduce precise, knowledgeable claim(s), establish the significance of the claim(s), distinguish the claim(s) from alternate or opposing claims, and create an organization that logically sequences the claim(s), counterclaims, reasons, and e</w:t>
            </w:r>
            <w:r>
              <w:rPr>
                <w:rFonts w:ascii="Cambria" w:eastAsia="Cambria" w:hAnsi="Cambria" w:cs="Cambria"/>
                <w:color w:val="202020"/>
                <w:sz w:val="22"/>
                <w:szCs w:val="22"/>
              </w:rPr>
              <w:t>vidence.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hyperlink r:id="rId14">
              <w:r>
                <w:rPr>
                  <w:rFonts w:ascii="Cambria" w:eastAsia="Cambria" w:hAnsi="Cambria" w:cs="Cambria"/>
                  <w:color w:val="373737"/>
                  <w:sz w:val="22"/>
                  <w:szCs w:val="22"/>
                </w:rPr>
                <w:t>CCSS.ELA-LITERACY.WHST.11-12.5</w:t>
              </w:r>
            </w:hyperlink>
          </w:p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202020"/>
                <w:sz w:val="22"/>
                <w:szCs w:val="22"/>
              </w:rPr>
              <w:t>Develop and strengthen writing as needed by planning, revising, editing, rewriting, or trying a new approach, focusing on addressing what is most significant for a specific purpose and audience.</w:t>
            </w:r>
          </w:p>
        </w:tc>
      </w:tr>
    </w:tbl>
    <w:p w:rsidR="00BF3C06" w:rsidRDefault="00533979">
      <w:pPr>
        <w:rPr>
          <w:rFonts w:ascii="Cambria" w:eastAsia="Cambria" w:hAnsi="Cambria" w:cs="Cambria"/>
          <w:sz w:val="22"/>
          <w:szCs w:val="22"/>
        </w:rPr>
      </w:pPr>
      <w:r>
        <w:br w:type="page"/>
      </w:r>
    </w:p>
    <w:p w:rsidR="00BF3C06" w:rsidRDefault="00BF3C06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3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BF3C06">
        <w:trPr>
          <w:trHeight w:val="621"/>
        </w:trPr>
        <w:tc>
          <w:tcPr>
            <w:tcW w:w="10610" w:type="dxa"/>
            <w:shd w:val="clear" w:color="auto" w:fill="D9D9D9"/>
          </w:tcPr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ASSESSMENTS OF SKILLS/STANDARDS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: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These are the major form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ative and summative measures that will be used to assess student progress on the specific skills, understandings and standards listed above.  Please be specific! </w:t>
            </w:r>
          </w:p>
        </w:tc>
      </w:tr>
      <w:tr w:rsidR="00BF3C06">
        <w:trPr>
          <w:trHeight w:val="349"/>
        </w:trPr>
        <w:tc>
          <w:tcPr>
            <w:tcW w:w="10610" w:type="dxa"/>
          </w:tcPr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Bitmoji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Locker (Personal Identity Project).  Using CCSS.RH11-12.9 to support factors of identity</w:t>
            </w:r>
          </w:p>
        </w:tc>
      </w:tr>
      <w:tr w:rsidR="00BF3C06">
        <w:trPr>
          <w:trHeight w:val="349"/>
        </w:trPr>
        <w:tc>
          <w:tcPr>
            <w:tcW w:w="10610" w:type="dxa"/>
          </w:tcPr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Google Earth Virtual Tours.  Using CCSS.RH11-12.1 to explain the social, political, and economic impacts of geography</w:t>
            </w:r>
          </w:p>
        </w:tc>
      </w:tr>
      <w:tr w:rsidR="00BF3C06">
        <w:trPr>
          <w:trHeight w:val="349"/>
        </w:trPr>
        <w:tc>
          <w:tcPr>
            <w:tcW w:w="10610" w:type="dxa"/>
          </w:tcPr>
          <w:p w:rsidR="00BF3C06" w:rsidRDefault="00533979">
            <w:pPr>
              <w:numPr>
                <w:ilvl w:val="0"/>
                <w:numId w:val="8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Citizen Action Project.  Using CCSS. WH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ST 11-12.1.A to support methods of focusing on current issues in the US/World.  Using WHST.11-12.5 to present plans of civic action to current events based on historical and contemporary models.</w:t>
            </w:r>
          </w:p>
        </w:tc>
      </w:tr>
      <w:tr w:rsidR="00BF3C06">
        <w:trPr>
          <w:trHeight w:val="349"/>
        </w:trPr>
        <w:tc>
          <w:tcPr>
            <w:tcW w:w="10610" w:type="dxa"/>
          </w:tcPr>
          <w:p w:rsidR="00BF3C06" w:rsidRDefault="00533979">
            <w:pPr>
              <w:numPr>
                <w:ilvl w:val="0"/>
                <w:numId w:val="3"/>
              </w:numPr>
              <w:ind w:left="360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Daily Entrance and Exit Tickets. Using a variety of formats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to check for understanding: free response, polls,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PadLet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temperature checks, multiple choice, etc. </w:t>
            </w:r>
          </w:p>
        </w:tc>
      </w:tr>
    </w:tbl>
    <w:p w:rsidR="00BF3C06" w:rsidRDefault="00BF3C06">
      <w:pPr>
        <w:rPr>
          <w:rFonts w:ascii="Cambria" w:eastAsia="Cambria" w:hAnsi="Cambria" w:cs="Cambria"/>
          <w:b/>
          <w:smallCaps/>
          <w:sz w:val="22"/>
          <w:szCs w:val="22"/>
        </w:rPr>
      </w:pPr>
    </w:p>
    <w:p w:rsidR="00BF3C06" w:rsidRDefault="00533979">
      <w:pPr>
        <w:rPr>
          <w:rFonts w:ascii="Cambria" w:eastAsia="Cambria" w:hAnsi="Cambria" w:cs="Cambria"/>
          <w:i/>
          <w:sz w:val="22"/>
          <w:szCs w:val="22"/>
        </w:rPr>
      </w:pPr>
      <w:r>
        <w:rPr>
          <w:rFonts w:ascii="Cambria" w:eastAsia="Cambria" w:hAnsi="Cambria" w:cs="Cambria"/>
          <w:b/>
          <w:smallCaps/>
          <w:sz w:val="22"/>
          <w:szCs w:val="22"/>
        </w:rPr>
        <w:t>UNITS OF STUDY</w:t>
      </w:r>
      <w:r>
        <w:rPr>
          <w:rFonts w:ascii="Cambria" w:eastAsia="Cambria" w:hAnsi="Cambria" w:cs="Cambria"/>
          <w:b/>
          <w:sz w:val="22"/>
          <w:szCs w:val="22"/>
        </w:rPr>
        <w:t xml:space="preserve">:  </w:t>
      </w:r>
      <w:r>
        <w:rPr>
          <w:rFonts w:ascii="Cambria" w:eastAsia="Cambria" w:hAnsi="Cambria" w:cs="Cambria"/>
          <w:i/>
          <w:sz w:val="22"/>
          <w:szCs w:val="22"/>
        </w:rPr>
        <w:t>These are the titles/descriptions of the primary units covered during the course.  These units should develop identity, skills, intellec</w:t>
      </w:r>
      <w:r>
        <w:rPr>
          <w:rFonts w:ascii="Cambria" w:eastAsia="Cambria" w:hAnsi="Cambria" w:cs="Cambria"/>
          <w:i/>
          <w:sz w:val="22"/>
          <w:szCs w:val="22"/>
        </w:rPr>
        <w:t xml:space="preserve">t, and criticality, as described above.   </w:t>
      </w:r>
    </w:p>
    <w:tbl>
      <w:tblPr>
        <w:tblStyle w:val="a4"/>
        <w:tblW w:w="10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452"/>
        <w:gridCol w:w="5084"/>
      </w:tblGrid>
      <w:tr w:rsidR="00BF3C06">
        <w:tc>
          <w:tcPr>
            <w:tcW w:w="5067" w:type="dxa"/>
            <w:tcBorders>
              <w:top w:val="nil"/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1. Colonial Foundations (1607– 1763):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F3C06" w:rsidRDefault="00BF3C06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</w:tc>
        <w:tc>
          <w:tcPr>
            <w:tcW w:w="5084" w:type="dxa"/>
            <w:tcBorders>
              <w:top w:val="nil"/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6. The Rise Of American Power (1890 – 1920):</w:t>
            </w:r>
          </w:p>
        </w:tc>
      </w:tr>
      <w:tr w:rsidR="00BF3C06">
        <w:trPr>
          <w:trHeight w:val="305"/>
        </w:trPr>
        <w:tc>
          <w:tcPr>
            <w:tcW w:w="5067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2. Constitutional Foundations (1763 – 1824)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F3C06" w:rsidRDefault="00BF3C06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7. Prosperity And Depression (1920 – 1939)</w:t>
            </w:r>
          </w:p>
        </w:tc>
      </w:tr>
      <w:tr w:rsidR="00BF3C06">
        <w:tc>
          <w:tcPr>
            <w:tcW w:w="5067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3. Expansion, Nationalism, And Sectionalism (1800 – 1865)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F3C06" w:rsidRDefault="00BF3C06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8. World War Ii (1935 – 1945)</w:t>
            </w:r>
          </w:p>
        </w:tc>
      </w:tr>
      <w:tr w:rsidR="00BF3C06">
        <w:tc>
          <w:tcPr>
            <w:tcW w:w="5067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4. Post-civil War Era (1865 – 1900)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F3C06" w:rsidRDefault="00BF3C06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9. Cold War (1945 – 1990</w:t>
            </w:r>
          </w:p>
        </w:tc>
      </w:tr>
      <w:tr w:rsidR="00BF3C06">
        <w:tc>
          <w:tcPr>
            <w:tcW w:w="5067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 xml:space="preserve">5. Industrialization And Urbanization </w:t>
            </w:r>
          </w:p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(1870 – 1920)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F3C06" w:rsidRDefault="00BF3C06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</w:p>
        </w:tc>
        <w:tc>
          <w:tcPr>
            <w:tcW w:w="5084" w:type="dxa"/>
            <w:tcBorders>
              <w:left w:val="nil"/>
              <w:right w:val="nil"/>
            </w:tcBorders>
          </w:tcPr>
          <w:p w:rsidR="00BF3C06" w:rsidRDefault="00533979">
            <w:pPr>
              <w:rPr>
                <w:rFonts w:ascii="Cambria" w:eastAsia="Cambria" w:hAnsi="Cambria" w:cs="Cambria"/>
                <w:b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10. Social And Economic Change/Domestic Issues (1945 – Present)</w:t>
            </w:r>
          </w:p>
        </w:tc>
      </w:tr>
    </w:tbl>
    <w:p w:rsidR="00BF3C06" w:rsidRDefault="00BF3C06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5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10"/>
      </w:tblGrid>
      <w:tr w:rsidR="00BF3C06">
        <w:trPr>
          <w:trHeight w:val="431"/>
        </w:trPr>
        <w:tc>
          <w:tcPr>
            <w:tcW w:w="10610" w:type="dxa"/>
            <w:shd w:val="clear" w:color="auto" w:fill="D9D9D9"/>
          </w:tcPr>
          <w:p w:rsidR="00BF3C06" w:rsidRDefault="00533979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mallCaps/>
                <w:sz w:val="22"/>
                <w:szCs w:val="22"/>
              </w:rPr>
              <w:t xml:space="preserve">TEXTS/MEDIA: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This is a sampling texts, media, materials covered/utilized in the course.  These resources are diverse, relevant, empowering and easily accessible and usable both in-school and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remotely. </w:t>
            </w:r>
          </w:p>
        </w:tc>
      </w:tr>
      <w:tr w:rsidR="00BF3C06">
        <w:trPr>
          <w:trHeight w:val="1106"/>
        </w:trPr>
        <w:tc>
          <w:tcPr>
            <w:tcW w:w="10610" w:type="dxa"/>
          </w:tcPr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5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https://www.facinghistory.org/</w:t>
              </w:r>
            </w:hyperlink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6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https://www.zinnedproject.org/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7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www.Flocabulary.com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8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https://www.nytimes.com/spotlight/learning-social-studies</w:t>
              </w:r>
            </w:hyperlink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hyperlink r:id="rId19"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https://www.to</w:t>
              </w:r>
              <w:r>
                <w:rPr>
                  <w:rFonts w:ascii="Cambria" w:eastAsia="Cambria" w:hAnsi="Cambria" w:cs="Cambria"/>
                  <w:color w:val="1155CC"/>
                  <w:sz w:val="22"/>
                  <w:szCs w:val="22"/>
                  <w:u w:val="single"/>
                </w:rPr>
                <w:t>lerance.org/classroom-resources/tolerance-lessons/evaluating-online-sources</w:t>
              </w:r>
            </w:hyperlink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PDF excerpts :  </w:t>
            </w: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-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Takaki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, R. (2012).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 different mirror for young people:  A history of multicultural America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.  Seven Stories Press </w:t>
            </w: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-Aydin, A., Lewis. J., Powell, N. (2013). 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M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arch.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Top Shelf Publications</w:t>
            </w: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-Reynolds, Jason, and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Ibram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X.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Kendi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Stamped: Racism, Antiracism, and You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. Little, Brown and Company, 2020.</w:t>
            </w: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-Rothstein, Richard.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The Color of Law: a Forgotten History of How Our Government Segregated America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2"/>
                <w:szCs w:val="22"/>
              </w:rPr>
              <w:t>Liveright</w:t>
            </w:r>
            <w:proofErr w:type="spell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Publ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>ishing Corporation, a Division of W.W. Norton &amp; Company, 2018.</w:t>
            </w: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F3C06" w:rsidRDefault="00BF3C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mbria" w:eastAsia="Cambria" w:hAnsi="Cambria" w:cs="Cambria"/>
          <w:sz w:val="22"/>
          <w:szCs w:val="22"/>
        </w:rPr>
      </w:pPr>
    </w:p>
    <w:tbl>
      <w:tblPr>
        <w:tblStyle w:val="a6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BF3C06">
        <w:tc>
          <w:tcPr>
            <w:tcW w:w="10610" w:type="dxa"/>
            <w:shd w:val="clear" w:color="auto" w:fill="D9D9D9"/>
          </w:tcPr>
          <w:p w:rsidR="00BF3C06" w:rsidRDefault="00533979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COURSE RULES AND GUIDELINES: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These are the mechanisms that will manage the class and if followed result in student success for this course.  These rules/guidelines should be fair, democratic, coherent, sustainable and able to be implemented both in-school and remotely, collaboratively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 and independently. 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Be on time and prepared for class both in-person and remotely.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Email teacher if you are going to be late or absent for class.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4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Be respectful of your peers, teacher and yourself. Understand that not everyone will share the same opinions as you and that’s ok.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9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lastRenderedPageBreak/>
              <w:t xml:space="preserve">Actively listen to others and participate in class discussions; use academically appropriate language during class.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5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It is your responsibility to ensure that you are completing and turning in assignments on time.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If you need additional support or have questions, email the teacher or seek guidance from a classmate. </w:t>
            </w:r>
          </w:p>
        </w:tc>
      </w:tr>
    </w:tbl>
    <w:p w:rsidR="00BF3C06" w:rsidRDefault="00BF3C06">
      <w:pPr>
        <w:rPr>
          <w:rFonts w:ascii="Cambria" w:eastAsia="Cambria" w:hAnsi="Cambria" w:cs="Cambria"/>
          <w:sz w:val="22"/>
          <w:szCs w:val="22"/>
        </w:rPr>
      </w:pPr>
    </w:p>
    <w:tbl>
      <w:tblPr>
        <w:tblStyle w:val="a7"/>
        <w:tblW w:w="10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10"/>
      </w:tblGrid>
      <w:tr w:rsidR="00BF3C06">
        <w:tc>
          <w:tcPr>
            <w:tcW w:w="10610" w:type="dxa"/>
            <w:shd w:val="clear" w:color="auto" w:fill="D9D9D9"/>
          </w:tcPr>
          <w:p w:rsidR="00BF3C06" w:rsidRDefault="00533979">
            <w:pPr>
              <w:rPr>
                <w:rFonts w:ascii="Cambria" w:eastAsia="Cambria" w:hAnsi="Cambria" w:cs="Cambria"/>
                <w:i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COURSE HOMEWORK POLICY: 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>This is an overview of homework distribution schedule and the process for completion and collection.  This policy is consistent with the school-wide policy (to-be-finalized) and hold students accountable but also supports them, and does so both in-school a</w:t>
            </w:r>
            <w:r>
              <w:rPr>
                <w:rFonts w:ascii="Cambria" w:eastAsia="Cambria" w:hAnsi="Cambria" w:cs="Cambria"/>
                <w:i/>
                <w:sz w:val="22"/>
                <w:szCs w:val="22"/>
              </w:rPr>
              <w:t xml:space="preserve">nd remotely. </w:t>
            </w:r>
          </w:p>
        </w:tc>
      </w:tr>
      <w:tr w:rsidR="00BF3C06">
        <w:tc>
          <w:tcPr>
            <w:tcW w:w="10610" w:type="dxa"/>
          </w:tcPr>
          <w:p w:rsidR="00BF3C06" w:rsidRDefault="00533979">
            <w:pPr>
              <w:numPr>
                <w:ilvl w:val="0"/>
                <w:numId w:val="7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There will be a minimum of three (3</w:t>
            </w:r>
            <w:proofErr w:type="gramStart"/>
            <w:r>
              <w:rPr>
                <w:rFonts w:ascii="Cambria" w:eastAsia="Cambria" w:hAnsi="Cambria" w:cs="Cambria"/>
                <w:sz w:val="22"/>
                <w:szCs w:val="22"/>
              </w:rPr>
              <w:t>)  homework</w:t>
            </w:r>
            <w:proofErr w:type="gramEnd"/>
            <w:r>
              <w:rPr>
                <w:rFonts w:ascii="Cambria" w:eastAsia="Cambria" w:hAnsi="Cambria" w:cs="Cambria"/>
                <w:sz w:val="22"/>
                <w:szCs w:val="22"/>
              </w:rPr>
              <w:t xml:space="preserve"> assignments per week. All homework assignments will be posted on Google Classroom. Printed copies may be requested on an as needed basis. </w:t>
            </w:r>
          </w:p>
          <w:p w:rsidR="00BF3C06" w:rsidRDefault="00BF3C06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BCAM STANDARD GRADING TEMPLATE: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90-100 (A), 80-89 (B),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70-79 (C), 65-69 (D), 55-64 (F – below standards or incomplete work), 45 (F missing/long-term absence).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</w:p>
          <w:p w:rsidR="00BF3C06" w:rsidRDefault="00BF3C06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Assignment submittal.  Late work will be accepted but under the following guidelines: 1 day late = automatic -10, 2 days late = automatic -20, 3 days late = automatic -30.  More than 3 days late = 55</w:t>
            </w:r>
          </w:p>
          <w:p w:rsidR="00BF3C06" w:rsidRDefault="00BF3C06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numPr>
                <w:ilvl w:val="0"/>
                <w:numId w:val="7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Homework assignments will be due by 11:59PM the followi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ng day unless stated otherwise. </w:t>
            </w:r>
          </w:p>
          <w:p w:rsidR="00BF3C06" w:rsidRDefault="00BF3C06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numPr>
                <w:ilvl w:val="0"/>
                <w:numId w:val="7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Any homework turned in after the late period has expired will not be accepted unless the teacher receives prior notice from the parent/guardian. </w:t>
            </w:r>
          </w:p>
          <w:p w:rsidR="00BF3C06" w:rsidRDefault="00BF3C06">
            <w:pPr>
              <w:ind w:left="720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BF3C06" w:rsidRDefault="00533979">
            <w:pPr>
              <w:numPr>
                <w:ilvl w:val="0"/>
                <w:numId w:val="7"/>
              </w:numPr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Homework is worth 15% of a student’s final grade. </w:t>
            </w:r>
          </w:p>
          <w:p w:rsidR="00BF3C06" w:rsidRDefault="00BF3C06">
            <w:pPr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BF3C06" w:rsidRDefault="00BF3C06">
      <w:pPr>
        <w:rPr>
          <w:rFonts w:ascii="Cambria" w:eastAsia="Cambria" w:hAnsi="Cambria" w:cs="Cambria"/>
          <w:sz w:val="22"/>
          <w:szCs w:val="22"/>
        </w:rPr>
      </w:pPr>
    </w:p>
    <w:p w:rsidR="00BF3C06" w:rsidRDefault="00BF3C06">
      <w:pPr>
        <w:rPr>
          <w:rFonts w:ascii="Cambria" w:eastAsia="Cambria" w:hAnsi="Cambria" w:cs="Cambria"/>
          <w:sz w:val="22"/>
          <w:szCs w:val="22"/>
        </w:rPr>
      </w:pPr>
    </w:p>
    <w:sectPr w:rsidR="00BF3C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79" w:rsidRDefault="00533979">
      <w:r>
        <w:separator/>
      </w:r>
    </w:p>
  </w:endnote>
  <w:endnote w:type="continuationSeparator" w:id="0">
    <w:p w:rsidR="00533979" w:rsidRDefault="00533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06" w:rsidRDefault="00BF3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06" w:rsidRDefault="00BF3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06" w:rsidRDefault="00BF3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79" w:rsidRDefault="00533979">
      <w:r>
        <w:separator/>
      </w:r>
    </w:p>
  </w:footnote>
  <w:footnote w:type="continuationSeparator" w:id="0">
    <w:p w:rsidR="00533979" w:rsidRDefault="00533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06" w:rsidRDefault="00BF3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06" w:rsidRDefault="00BF3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06" w:rsidRDefault="00BF3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B98"/>
    <w:multiLevelType w:val="multilevel"/>
    <w:tmpl w:val="2B3C01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9F144F"/>
    <w:multiLevelType w:val="multilevel"/>
    <w:tmpl w:val="93046CAC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2"/>
      <w:numFmt w:val="bullet"/>
      <w:lvlText w:val="❑"/>
      <w:lvlJc w:val="left"/>
      <w:pPr>
        <w:ind w:left="1440" w:hanging="1296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E5034"/>
    <w:multiLevelType w:val="multilevel"/>
    <w:tmpl w:val="252ED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03766D"/>
    <w:multiLevelType w:val="multilevel"/>
    <w:tmpl w:val="12F47F08"/>
    <w:lvl w:ilvl="0">
      <w:start w:val="2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2"/>
      <w:numFmt w:val="bullet"/>
      <w:lvlText w:val="❑"/>
      <w:lvlJc w:val="left"/>
      <w:pPr>
        <w:ind w:left="1440" w:hanging="1296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094C3F"/>
    <w:multiLevelType w:val="multilevel"/>
    <w:tmpl w:val="BB821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672DF7"/>
    <w:multiLevelType w:val="multilevel"/>
    <w:tmpl w:val="234A3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53142F"/>
    <w:multiLevelType w:val="multilevel"/>
    <w:tmpl w:val="0A326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573A4C"/>
    <w:multiLevelType w:val="multilevel"/>
    <w:tmpl w:val="777A1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E35D07"/>
    <w:multiLevelType w:val="multilevel"/>
    <w:tmpl w:val="55727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06"/>
    <w:rsid w:val="00533979"/>
    <w:rsid w:val="00BF3C06"/>
    <w:rsid w:val="00D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1781F-A421-4997-9958-E22B3B44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Georgia" w:eastAsia="Georgia" w:hAnsi="Georgia" w:cs="Georgia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usso16@schools.nyc.gov" TargetMode="External"/><Relationship Id="rId13" Type="http://schemas.openxmlformats.org/officeDocument/2006/relationships/hyperlink" Target="http://www.corestandards.org/ELA-Literacy/WHST/11-12/1/a/" TargetMode="External"/><Relationship Id="rId18" Type="http://schemas.openxmlformats.org/officeDocument/2006/relationships/hyperlink" Target="https://www.nytimes.com/spotlight/learning-social-stud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lrusso@bcamhs.org" TargetMode="External"/><Relationship Id="rId12" Type="http://schemas.openxmlformats.org/officeDocument/2006/relationships/hyperlink" Target="http://www.corestandards.org/ELA-Literacy/RH/11-12/9/" TargetMode="External"/><Relationship Id="rId17" Type="http://schemas.openxmlformats.org/officeDocument/2006/relationships/hyperlink" Target="http://www.flocabulary.com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zinnedproject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H/11-12/1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facinghistory.org/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jaishwar@schools.nyc.gov" TargetMode="External"/><Relationship Id="rId19" Type="http://schemas.openxmlformats.org/officeDocument/2006/relationships/hyperlink" Target="https://www.tolerance.org/classroom-resources/tolerance-lessons/evaluating-online-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jaishwar@bcamhs.org" TargetMode="External"/><Relationship Id="rId14" Type="http://schemas.openxmlformats.org/officeDocument/2006/relationships/hyperlink" Target="http://www.corestandards.org/ELA-Literacy/WHST/11-12/5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Obrien James</cp:lastModifiedBy>
  <cp:revision>2</cp:revision>
  <dcterms:created xsi:type="dcterms:W3CDTF">2020-09-15T20:26:00Z</dcterms:created>
  <dcterms:modified xsi:type="dcterms:W3CDTF">2020-09-15T20:26:00Z</dcterms:modified>
</cp:coreProperties>
</file>